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4D" w:rsidRDefault="0036114D" w:rsidP="00CA2501">
      <w:pPr>
        <w:jc w:val="both"/>
      </w:pPr>
    </w:p>
    <w:p w:rsidR="006A7E07" w:rsidRDefault="006A7E07" w:rsidP="006A7E07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70C1"/>
          <w:sz w:val="40"/>
          <w:szCs w:val="40"/>
        </w:rPr>
      </w:pPr>
    </w:p>
    <w:p w:rsidR="006A7E07" w:rsidRDefault="006A7E07" w:rsidP="006A7E07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70C1"/>
          <w:sz w:val="40"/>
          <w:szCs w:val="40"/>
        </w:rPr>
      </w:pPr>
    </w:p>
    <w:p w:rsidR="006A7E07" w:rsidRDefault="006A7E07" w:rsidP="006A7E07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70C1"/>
          <w:sz w:val="40"/>
          <w:szCs w:val="40"/>
        </w:rPr>
      </w:pPr>
      <w:r>
        <w:rPr>
          <w:rFonts w:ascii="Calibri-BoldItalic" w:hAnsi="Calibri-BoldItalic" w:cs="Calibri-BoldItalic"/>
          <w:b/>
          <w:bCs/>
          <w:i/>
          <w:iCs/>
          <w:color w:val="0070C1"/>
          <w:sz w:val="40"/>
          <w:szCs w:val="40"/>
        </w:rPr>
        <w:t>Avis d’Appel Public à Manifestation d’Intérêt</w:t>
      </w:r>
    </w:p>
    <w:p w:rsidR="00CA2501" w:rsidRDefault="00CA2501" w:rsidP="006A7E07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70C1"/>
          <w:sz w:val="40"/>
          <w:szCs w:val="40"/>
        </w:rPr>
      </w:pPr>
    </w:p>
    <w:p w:rsidR="006A7E07" w:rsidRDefault="006A7E07" w:rsidP="006A7E07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>Ville de Bagneux</w:t>
      </w:r>
    </w:p>
    <w:p w:rsidR="006A7E07" w:rsidRDefault="006A7E07" w:rsidP="006A7E07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>Service Atelier du Projet Urbain</w:t>
      </w:r>
    </w:p>
    <w:p w:rsidR="00CA2501" w:rsidRDefault="00CA2501" w:rsidP="006A7E07">
      <w:pPr>
        <w:autoSpaceDE w:val="0"/>
        <w:autoSpaceDN w:val="0"/>
        <w:adjustRightInd w:val="0"/>
        <w:spacing w:after="0" w:line="240" w:lineRule="auto"/>
        <w:jc w:val="center"/>
        <w:rPr>
          <w:rFonts w:ascii="Wingdings2" w:hAnsi="Wingdings2" w:cs="Wingdings2"/>
          <w:color w:val="000000"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 xml:space="preserve">57 avenue Henri </w:t>
      </w:r>
      <w:proofErr w:type="spellStart"/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>Ravera</w:t>
      </w:r>
      <w:proofErr w:type="spellEnd"/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 xml:space="preserve"> 92 220 Bagneux</w:t>
      </w:r>
    </w:p>
    <w:p w:rsidR="006A7E07" w:rsidRDefault="00CA2501" w:rsidP="006A7E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01 42 31 68 06/06 07 30 93 02</w:t>
      </w:r>
    </w:p>
    <w:p w:rsidR="006A7E07" w:rsidRDefault="006A7E07" w:rsidP="006A7E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563C2"/>
          <w:sz w:val="24"/>
          <w:szCs w:val="24"/>
        </w:rPr>
      </w:pPr>
    </w:p>
    <w:p w:rsidR="006A7E07" w:rsidRDefault="006A7E07" w:rsidP="00CA25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563C2"/>
          <w:sz w:val="24"/>
          <w:szCs w:val="24"/>
        </w:rPr>
      </w:pPr>
    </w:p>
    <w:p w:rsidR="006A7E07" w:rsidRPr="00CA2501" w:rsidRDefault="006A7E07" w:rsidP="003B3EA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2E74B5" w:themeColor="accent1" w:themeShade="BF"/>
          <w:sz w:val="24"/>
          <w:szCs w:val="24"/>
        </w:rPr>
      </w:pPr>
      <w:r w:rsidRPr="00CA2501">
        <w:rPr>
          <w:rFonts w:ascii="Calibri-Bold" w:hAnsi="Calibri-Bold" w:cs="Calibri-Bold"/>
          <w:b/>
          <w:bCs/>
          <w:color w:val="2E74B5" w:themeColor="accent1" w:themeShade="BF"/>
          <w:sz w:val="24"/>
          <w:szCs w:val="24"/>
        </w:rPr>
        <w:t xml:space="preserve">OBJET : exercice d’une activité de restauration ambulante de type « </w:t>
      </w:r>
      <w:proofErr w:type="spellStart"/>
      <w:r w:rsidRPr="00CA2501">
        <w:rPr>
          <w:rFonts w:ascii="Calibri-Bold" w:hAnsi="Calibri-Bold" w:cs="Calibri-Bold"/>
          <w:b/>
          <w:bCs/>
          <w:color w:val="2E74B5" w:themeColor="accent1" w:themeShade="BF"/>
          <w:sz w:val="24"/>
          <w:szCs w:val="24"/>
        </w:rPr>
        <w:t>food</w:t>
      </w:r>
      <w:proofErr w:type="spellEnd"/>
      <w:r w:rsidRPr="00CA2501">
        <w:rPr>
          <w:rFonts w:ascii="Calibri-Bold" w:hAnsi="Calibri-Bold" w:cs="Calibri-Bold"/>
          <w:b/>
          <w:bCs/>
          <w:color w:val="2E74B5" w:themeColor="accent1" w:themeShade="BF"/>
          <w:sz w:val="24"/>
          <w:szCs w:val="24"/>
        </w:rPr>
        <w:t xml:space="preserve"> t</w:t>
      </w:r>
      <w:r w:rsidR="00CA2501" w:rsidRPr="00CA2501">
        <w:rPr>
          <w:rFonts w:ascii="Calibri-Bold" w:hAnsi="Calibri-Bold" w:cs="Calibri-Bold"/>
          <w:b/>
          <w:bCs/>
          <w:color w:val="2E74B5" w:themeColor="accent1" w:themeShade="BF"/>
          <w:sz w:val="24"/>
          <w:szCs w:val="24"/>
        </w:rPr>
        <w:t>ruck »</w:t>
      </w:r>
      <w:r w:rsidRPr="00CA2501">
        <w:rPr>
          <w:rFonts w:ascii="Calibri-Bold" w:hAnsi="Calibri-Bold" w:cs="Calibri-Bold"/>
          <w:b/>
          <w:bCs/>
          <w:color w:val="2E74B5" w:themeColor="accent1" w:themeShade="BF"/>
          <w:sz w:val="24"/>
          <w:szCs w:val="24"/>
        </w:rPr>
        <w:t>sur les emplacements déd</w:t>
      </w:r>
      <w:r w:rsidR="00CA2501" w:rsidRPr="00CA2501">
        <w:rPr>
          <w:rFonts w:ascii="Calibri-Bold" w:hAnsi="Calibri-Bold" w:cs="Calibri-Bold"/>
          <w:b/>
          <w:bCs/>
          <w:color w:val="2E74B5" w:themeColor="accent1" w:themeShade="BF"/>
          <w:sz w:val="24"/>
          <w:szCs w:val="24"/>
        </w:rPr>
        <w:t>iés de la Ville de Bagneux</w:t>
      </w:r>
    </w:p>
    <w:p w:rsidR="003B3EA3" w:rsidRDefault="003B3EA3" w:rsidP="003B3EA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E74B5" w:themeColor="accent1" w:themeShade="BF"/>
          <w:sz w:val="32"/>
          <w:szCs w:val="32"/>
        </w:rPr>
      </w:pPr>
    </w:p>
    <w:p w:rsidR="006A7E07" w:rsidRPr="003B3EA3" w:rsidRDefault="006A7E07" w:rsidP="003B3EA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1"/>
        </w:rPr>
      </w:pPr>
      <w:r w:rsidRPr="003B3EA3">
        <w:rPr>
          <w:rFonts w:ascii="Calibri-Bold" w:hAnsi="Calibri-Bold" w:cs="Calibri-Bold"/>
          <w:b/>
          <w:bCs/>
          <w:color w:val="0070C1"/>
        </w:rPr>
        <w:t>Préambule</w:t>
      </w:r>
    </w:p>
    <w:p w:rsidR="003B3EA3" w:rsidRPr="003B3EA3" w:rsidRDefault="003B3EA3" w:rsidP="003B3EA3">
      <w:pPr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/>
          <w:bCs/>
          <w:color w:val="0070C1"/>
        </w:rPr>
      </w:pPr>
    </w:p>
    <w:p w:rsidR="006A7E07" w:rsidRDefault="006A7E07" w:rsidP="003B3E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Pour répondre aux besoins des habitants de la commune, et afin de dynamiser l’offre </w:t>
      </w:r>
      <w:r w:rsidR="00CA2501">
        <w:rPr>
          <w:rFonts w:ascii="Calibri" w:hAnsi="Calibri" w:cs="Calibri"/>
          <w:color w:val="000000"/>
        </w:rPr>
        <w:t xml:space="preserve">de restauration, la Ville met à </w:t>
      </w:r>
      <w:r>
        <w:rPr>
          <w:rFonts w:ascii="Calibri" w:hAnsi="Calibri" w:cs="Calibri"/>
          <w:color w:val="000000"/>
        </w:rPr>
        <w:t>disposition des emplacements pour l’installation de commerces alimentaires ambulants</w:t>
      </w:r>
      <w:r w:rsidR="00CA2501">
        <w:rPr>
          <w:rFonts w:ascii="Calibri" w:hAnsi="Calibri" w:cs="Calibri"/>
          <w:color w:val="000000"/>
        </w:rPr>
        <w:t xml:space="preserve"> de type « Food-truck » sur son </w:t>
      </w:r>
      <w:r>
        <w:rPr>
          <w:rFonts w:ascii="Calibri" w:hAnsi="Calibri" w:cs="Calibri"/>
          <w:color w:val="000000"/>
        </w:rPr>
        <w:t>domaine public.</w:t>
      </w:r>
    </w:p>
    <w:p w:rsidR="00CA2501" w:rsidRDefault="00CA2501" w:rsidP="006A7E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A7E07" w:rsidRDefault="003B3EA3" w:rsidP="006A7E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1"/>
        </w:rPr>
      </w:pPr>
      <w:r>
        <w:rPr>
          <w:rFonts w:ascii="Calibri-Bold" w:hAnsi="Calibri-Bold" w:cs="Calibri-Bold"/>
          <w:b/>
          <w:bCs/>
          <w:color w:val="0070C1"/>
        </w:rPr>
        <w:t>1</w:t>
      </w:r>
      <w:r w:rsidR="006A7E07" w:rsidRPr="00CA2501">
        <w:rPr>
          <w:rFonts w:ascii="Calibri-Bold" w:hAnsi="Calibri-Bold" w:cs="Calibri-Bold"/>
          <w:b/>
          <w:bCs/>
          <w:color w:val="0070C1"/>
        </w:rPr>
        <w:t>. Les lieux et horaires d’intervention des camions restaurants</w:t>
      </w:r>
    </w:p>
    <w:p w:rsidR="003B3EA3" w:rsidRPr="00CA2501" w:rsidRDefault="003B3EA3" w:rsidP="006A7E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1"/>
        </w:rPr>
      </w:pPr>
    </w:p>
    <w:p w:rsidR="006A7E07" w:rsidRDefault="006A7E07" w:rsidP="003B3E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 Ville souhaite favoriser le commerce de proximité en permettant à un ou plusieurs op</w:t>
      </w:r>
      <w:r w:rsidR="00CA2501">
        <w:rPr>
          <w:rFonts w:ascii="Calibri" w:hAnsi="Calibri" w:cs="Calibri"/>
          <w:color w:val="000000"/>
        </w:rPr>
        <w:t xml:space="preserve">érateurs privés de réaliser une </w:t>
      </w:r>
      <w:r>
        <w:rPr>
          <w:rFonts w:ascii="Calibri" w:hAnsi="Calibri" w:cs="Calibri"/>
          <w:color w:val="000000"/>
        </w:rPr>
        <w:t xml:space="preserve">prestation de service de restauration diversifiée à emporter de type « </w:t>
      </w:r>
      <w:proofErr w:type="spellStart"/>
      <w:r>
        <w:rPr>
          <w:rFonts w:ascii="Calibri" w:hAnsi="Calibri" w:cs="Calibri"/>
          <w:color w:val="000000"/>
        </w:rPr>
        <w:t>food</w:t>
      </w:r>
      <w:proofErr w:type="spellEnd"/>
      <w:r>
        <w:rPr>
          <w:rFonts w:ascii="Calibri" w:hAnsi="Calibri" w:cs="Calibri"/>
          <w:color w:val="000000"/>
        </w:rPr>
        <w:t xml:space="preserve">-truck </w:t>
      </w:r>
      <w:r w:rsidR="00CA2501">
        <w:rPr>
          <w:rFonts w:ascii="Calibri" w:hAnsi="Calibri" w:cs="Calibri"/>
          <w:color w:val="000000"/>
        </w:rPr>
        <w:t xml:space="preserve">» (camion restaurant) selon les </w:t>
      </w:r>
      <w:r>
        <w:rPr>
          <w:rFonts w:ascii="Calibri" w:hAnsi="Calibri" w:cs="Calibri"/>
          <w:color w:val="000000"/>
        </w:rPr>
        <w:t>emplacements prévisionnels suivants :</w:t>
      </w:r>
    </w:p>
    <w:p w:rsidR="006A7E07" w:rsidRDefault="006A7E07" w:rsidP="006A7E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Place Jean Mermoz</w:t>
      </w:r>
    </w:p>
    <w:p w:rsidR="00C06B38" w:rsidRDefault="00C06B38" w:rsidP="00C06B3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E74B5" w:themeColor="accent1" w:themeShade="BF"/>
        </w:rPr>
      </w:pPr>
    </w:p>
    <w:tbl>
      <w:tblPr>
        <w:tblStyle w:val="Grilledutableau"/>
        <w:tblW w:w="9918" w:type="dxa"/>
        <w:tblInd w:w="-5" w:type="dxa"/>
        <w:tblLook w:val="04A0" w:firstRow="1" w:lastRow="0" w:firstColumn="1" w:lastColumn="0" w:noHBand="0" w:noVBand="1"/>
      </w:tblPr>
      <w:tblGrid>
        <w:gridCol w:w="1985"/>
        <w:gridCol w:w="746"/>
        <w:gridCol w:w="965"/>
        <w:gridCol w:w="962"/>
        <w:gridCol w:w="1089"/>
        <w:gridCol w:w="930"/>
        <w:gridCol w:w="1086"/>
        <w:gridCol w:w="1019"/>
        <w:gridCol w:w="1136"/>
      </w:tblGrid>
      <w:tr w:rsidR="003B3EA3" w:rsidTr="003B3EA3">
        <w:tc>
          <w:tcPr>
            <w:tcW w:w="1985" w:type="dxa"/>
          </w:tcPr>
          <w:p w:rsidR="003B3EA3" w:rsidRDefault="003B3EA3" w:rsidP="00D72F99">
            <w:pPr>
              <w:jc w:val="center"/>
            </w:pPr>
          </w:p>
        </w:tc>
        <w:tc>
          <w:tcPr>
            <w:tcW w:w="746" w:type="dxa"/>
          </w:tcPr>
          <w:p w:rsidR="003B3EA3" w:rsidRPr="00941C36" w:rsidRDefault="003B3EA3" w:rsidP="00D72F99">
            <w:pPr>
              <w:jc w:val="center"/>
              <w:rPr>
                <w:b/>
                <w:bCs/>
              </w:rPr>
            </w:pPr>
          </w:p>
        </w:tc>
        <w:tc>
          <w:tcPr>
            <w:tcW w:w="965" w:type="dxa"/>
          </w:tcPr>
          <w:p w:rsidR="003B3EA3" w:rsidRPr="003B3EA3" w:rsidRDefault="003B3EA3" w:rsidP="00D72F99">
            <w:pPr>
              <w:jc w:val="center"/>
              <w:rPr>
                <w:b/>
                <w:bCs/>
                <w:color w:val="2E74B5" w:themeColor="accent1" w:themeShade="BF"/>
              </w:rPr>
            </w:pPr>
            <w:r w:rsidRPr="003B3EA3">
              <w:rPr>
                <w:b/>
                <w:bCs/>
                <w:color w:val="2E74B5" w:themeColor="accent1" w:themeShade="BF"/>
              </w:rPr>
              <w:t>Lundi</w:t>
            </w:r>
          </w:p>
        </w:tc>
        <w:tc>
          <w:tcPr>
            <w:tcW w:w="962" w:type="dxa"/>
          </w:tcPr>
          <w:p w:rsidR="003B3EA3" w:rsidRPr="003B3EA3" w:rsidRDefault="003B3EA3" w:rsidP="00D72F99">
            <w:pPr>
              <w:jc w:val="center"/>
              <w:rPr>
                <w:b/>
                <w:bCs/>
                <w:color w:val="2E74B5" w:themeColor="accent1" w:themeShade="BF"/>
              </w:rPr>
            </w:pPr>
            <w:r w:rsidRPr="003B3EA3">
              <w:rPr>
                <w:b/>
                <w:bCs/>
                <w:color w:val="2E74B5" w:themeColor="accent1" w:themeShade="BF"/>
              </w:rPr>
              <w:t>Mardi</w:t>
            </w:r>
          </w:p>
        </w:tc>
        <w:tc>
          <w:tcPr>
            <w:tcW w:w="1089" w:type="dxa"/>
          </w:tcPr>
          <w:p w:rsidR="003B3EA3" w:rsidRPr="003B3EA3" w:rsidRDefault="003B3EA3" w:rsidP="00D72F99">
            <w:pPr>
              <w:jc w:val="center"/>
              <w:rPr>
                <w:b/>
                <w:bCs/>
                <w:color w:val="2E74B5" w:themeColor="accent1" w:themeShade="BF"/>
              </w:rPr>
            </w:pPr>
            <w:r w:rsidRPr="003B3EA3">
              <w:rPr>
                <w:b/>
                <w:bCs/>
                <w:color w:val="2E74B5" w:themeColor="accent1" w:themeShade="BF"/>
              </w:rPr>
              <w:t>Mercredi</w:t>
            </w:r>
          </w:p>
        </w:tc>
        <w:tc>
          <w:tcPr>
            <w:tcW w:w="930" w:type="dxa"/>
          </w:tcPr>
          <w:p w:rsidR="003B3EA3" w:rsidRPr="003B3EA3" w:rsidRDefault="003B3EA3" w:rsidP="00D72F99">
            <w:pPr>
              <w:jc w:val="center"/>
              <w:rPr>
                <w:b/>
                <w:bCs/>
                <w:color w:val="2E74B5" w:themeColor="accent1" w:themeShade="BF"/>
              </w:rPr>
            </w:pPr>
            <w:r w:rsidRPr="003B3EA3">
              <w:rPr>
                <w:b/>
                <w:bCs/>
                <w:color w:val="2E74B5" w:themeColor="accent1" w:themeShade="BF"/>
              </w:rPr>
              <w:t>Jeudi</w:t>
            </w:r>
          </w:p>
        </w:tc>
        <w:tc>
          <w:tcPr>
            <w:tcW w:w="1086" w:type="dxa"/>
          </w:tcPr>
          <w:p w:rsidR="003B3EA3" w:rsidRPr="003B3EA3" w:rsidRDefault="003B3EA3" w:rsidP="00D72F99">
            <w:pPr>
              <w:jc w:val="center"/>
              <w:rPr>
                <w:b/>
                <w:bCs/>
                <w:color w:val="2E74B5" w:themeColor="accent1" w:themeShade="BF"/>
              </w:rPr>
            </w:pPr>
            <w:r w:rsidRPr="003B3EA3">
              <w:rPr>
                <w:b/>
                <w:bCs/>
                <w:color w:val="2E74B5" w:themeColor="accent1" w:themeShade="BF"/>
              </w:rPr>
              <w:t>Vendredi</w:t>
            </w:r>
          </w:p>
        </w:tc>
        <w:tc>
          <w:tcPr>
            <w:tcW w:w="1019" w:type="dxa"/>
          </w:tcPr>
          <w:p w:rsidR="003B3EA3" w:rsidRPr="003B3EA3" w:rsidRDefault="003B3EA3" w:rsidP="00D72F99">
            <w:pPr>
              <w:jc w:val="center"/>
              <w:rPr>
                <w:b/>
                <w:bCs/>
                <w:color w:val="2E74B5" w:themeColor="accent1" w:themeShade="BF"/>
              </w:rPr>
            </w:pPr>
            <w:r w:rsidRPr="003B3EA3">
              <w:rPr>
                <w:b/>
                <w:bCs/>
                <w:color w:val="2E74B5" w:themeColor="accent1" w:themeShade="BF"/>
              </w:rPr>
              <w:t>Samedi</w:t>
            </w:r>
          </w:p>
        </w:tc>
        <w:tc>
          <w:tcPr>
            <w:tcW w:w="1136" w:type="dxa"/>
          </w:tcPr>
          <w:p w:rsidR="003B3EA3" w:rsidRPr="003B3EA3" w:rsidRDefault="003B3EA3" w:rsidP="00D72F99">
            <w:pPr>
              <w:jc w:val="center"/>
              <w:rPr>
                <w:b/>
                <w:bCs/>
                <w:color w:val="2E74B5" w:themeColor="accent1" w:themeShade="BF"/>
              </w:rPr>
            </w:pPr>
            <w:r w:rsidRPr="003B3EA3">
              <w:rPr>
                <w:b/>
                <w:bCs/>
                <w:color w:val="2E74B5" w:themeColor="accent1" w:themeShade="BF"/>
              </w:rPr>
              <w:t>Dimanche</w:t>
            </w:r>
          </w:p>
        </w:tc>
      </w:tr>
      <w:tr w:rsidR="003B3EA3" w:rsidTr="003B3EA3">
        <w:tc>
          <w:tcPr>
            <w:tcW w:w="1985" w:type="dxa"/>
            <w:vMerge w:val="restart"/>
          </w:tcPr>
          <w:p w:rsidR="003B3EA3" w:rsidRPr="003B3EA3" w:rsidRDefault="003B3EA3" w:rsidP="00D72F99">
            <w:pPr>
              <w:rPr>
                <w:b/>
                <w:bCs/>
                <w:color w:val="2E74B5" w:themeColor="accent1" w:themeShade="BF"/>
              </w:rPr>
            </w:pPr>
            <w:r w:rsidRPr="003B3EA3">
              <w:rPr>
                <w:b/>
                <w:bCs/>
                <w:color w:val="2E74B5" w:themeColor="accent1" w:themeShade="BF"/>
              </w:rPr>
              <w:t>Place Dampierre</w:t>
            </w:r>
          </w:p>
        </w:tc>
        <w:tc>
          <w:tcPr>
            <w:tcW w:w="746" w:type="dxa"/>
          </w:tcPr>
          <w:p w:rsidR="003B3EA3" w:rsidRPr="003B3EA3" w:rsidRDefault="003B3EA3" w:rsidP="00D72F99">
            <w:pPr>
              <w:jc w:val="center"/>
              <w:rPr>
                <w:b/>
                <w:bCs/>
                <w:i/>
                <w:iCs/>
                <w:color w:val="2E74B5" w:themeColor="accent1" w:themeShade="BF"/>
                <w:sz w:val="16"/>
                <w:szCs w:val="16"/>
              </w:rPr>
            </w:pPr>
            <w:r w:rsidRPr="003B3EA3">
              <w:rPr>
                <w:b/>
                <w:bCs/>
                <w:i/>
                <w:iCs/>
                <w:color w:val="2E74B5" w:themeColor="accent1" w:themeShade="BF"/>
                <w:sz w:val="16"/>
                <w:szCs w:val="16"/>
              </w:rPr>
              <w:t>Midi</w:t>
            </w:r>
          </w:p>
        </w:tc>
        <w:tc>
          <w:tcPr>
            <w:tcW w:w="965" w:type="dxa"/>
          </w:tcPr>
          <w:p w:rsidR="003B3EA3" w:rsidRPr="003B3EA3" w:rsidRDefault="003B3EA3" w:rsidP="00D72F99">
            <w:pPr>
              <w:rPr>
                <w:color w:val="2E74B5" w:themeColor="accent1" w:themeShade="BF"/>
              </w:rPr>
            </w:pPr>
          </w:p>
        </w:tc>
        <w:tc>
          <w:tcPr>
            <w:tcW w:w="962" w:type="dxa"/>
          </w:tcPr>
          <w:p w:rsidR="003B3EA3" w:rsidRPr="003B3EA3" w:rsidRDefault="003B3EA3" w:rsidP="00D72F99">
            <w:pPr>
              <w:rPr>
                <w:color w:val="2E74B5" w:themeColor="accent1" w:themeShade="BF"/>
              </w:rPr>
            </w:pPr>
          </w:p>
        </w:tc>
        <w:tc>
          <w:tcPr>
            <w:tcW w:w="1089" w:type="dxa"/>
          </w:tcPr>
          <w:p w:rsidR="003B3EA3" w:rsidRPr="003B3EA3" w:rsidRDefault="003B3EA3" w:rsidP="00D72F99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930" w:type="dxa"/>
          </w:tcPr>
          <w:p w:rsidR="003B3EA3" w:rsidRPr="003B3EA3" w:rsidRDefault="003B3EA3" w:rsidP="00D72F99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086" w:type="dxa"/>
          </w:tcPr>
          <w:p w:rsidR="003B3EA3" w:rsidRPr="003B3EA3" w:rsidRDefault="003B3EA3" w:rsidP="00D72F99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019" w:type="dxa"/>
          </w:tcPr>
          <w:p w:rsidR="003B3EA3" w:rsidRPr="003B3EA3" w:rsidRDefault="00D779AD" w:rsidP="00D72F99">
            <w:pPr>
              <w:jc w:val="center"/>
              <w:rPr>
                <w:color w:val="2E74B5" w:themeColor="accent1" w:themeShade="BF"/>
                <w:highlight w:val="lightGray"/>
              </w:rPr>
            </w:pPr>
            <w:r w:rsidRPr="005E0E80">
              <w:rPr>
                <w:color w:val="2E74B5" w:themeColor="accent1" w:themeShade="BF"/>
              </w:rPr>
              <w:t>X</w:t>
            </w:r>
          </w:p>
        </w:tc>
        <w:tc>
          <w:tcPr>
            <w:tcW w:w="1136" w:type="dxa"/>
          </w:tcPr>
          <w:p w:rsidR="003B3EA3" w:rsidRPr="003B3EA3" w:rsidRDefault="003B3EA3" w:rsidP="00D779AD">
            <w:pPr>
              <w:jc w:val="center"/>
              <w:rPr>
                <w:color w:val="2E74B5" w:themeColor="accent1" w:themeShade="BF"/>
              </w:rPr>
            </w:pPr>
          </w:p>
        </w:tc>
      </w:tr>
      <w:tr w:rsidR="003B3EA3" w:rsidTr="003B3EA3">
        <w:tc>
          <w:tcPr>
            <w:tcW w:w="1985" w:type="dxa"/>
            <w:vMerge/>
          </w:tcPr>
          <w:p w:rsidR="003B3EA3" w:rsidRPr="003B3EA3" w:rsidRDefault="003B3EA3" w:rsidP="00D72F99">
            <w:pPr>
              <w:rPr>
                <w:b/>
                <w:bCs/>
                <w:color w:val="2E74B5" w:themeColor="accent1" w:themeShade="BF"/>
              </w:rPr>
            </w:pPr>
          </w:p>
        </w:tc>
        <w:tc>
          <w:tcPr>
            <w:tcW w:w="746" w:type="dxa"/>
          </w:tcPr>
          <w:p w:rsidR="003B3EA3" w:rsidRPr="003B3EA3" w:rsidRDefault="003B3EA3" w:rsidP="00D72F99">
            <w:pPr>
              <w:jc w:val="center"/>
              <w:rPr>
                <w:b/>
                <w:bCs/>
                <w:i/>
                <w:iCs/>
                <w:color w:val="2E74B5" w:themeColor="accent1" w:themeShade="BF"/>
                <w:sz w:val="16"/>
                <w:szCs w:val="16"/>
              </w:rPr>
            </w:pPr>
            <w:r w:rsidRPr="003B3EA3">
              <w:rPr>
                <w:b/>
                <w:bCs/>
                <w:i/>
                <w:iCs/>
                <w:color w:val="2E74B5" w:themeColor="accent1" w:themeShade="BF"/>
                <w:sz w:val="16"/>
                <w:szCs w:val="16"/>
              </w:rPr>
              <w:t>Soir</w:t>
            </w:r>
          </w:p>
        </w:tc>
        <w:tc>
          <w:tcPr>
            <w:tcW w:w="965" w:type="dxa"/>
          </w:tcPr>
          <w:p w:rsidR="003B3EA3" w:rsidRPr="003B3EA3" w:rsidRDefault="003B3EA3" w:rsidP="00D72F99">
            <w:pPr>
              <w:rPr>
                <w:color w:val="2E74B5" w:themeColor="accent1" w:themeShade="BF"/>
              </w:rPr>
            </w:pPr>
          </w:p>
        </w:tc>
        <w:tc>
          <w:tcPr>
            <w:tcW w:w="962" w:type="dxa"/>
          </w:tcPr>
          <w:p w:rsidR="003B3EA3" w:rsidRPr="003B3EA3" w:rsidRDefault="003B3EA3" w:rsidP="00D72F99">
            <w:pPr>
              <w:rPr>
                <w:color w:val="2E74B5" w:themeColor="accent1" w:themeShade="BF"/>
              </w:rPr>
            </w:pPr>
          </w:p>
        </w:tc>
        <w:tc>
          <w:tcPr>
            <w:tcW w:w="1089" w:type="dxa"/>
          </w:tcPr>
          <w:p w:rsidR="003B3EA3" w:rsidRPr="003B3EA3" w:rsidRDefault="003B3EA3" w:rsidP="00D72F99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930" w:type="dxa"/>
          </w:tcPr>
          <w:p w:rsidR="003B3EA3" w:rsidRPr="003B3EA3" w:rsidRDefault="003B3EA3" w:rsidP="00D72F99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086" w:type="dxa"/>
          </w:tcPr>
          <w:p w:rsidR="003B3EA3" w:rsidRPr="003B3EA3" w:rsidRDefault="003B3EA3" w:rsidP="00D72F99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019" w:type="dxa"/>
          </w:tcPr>
          <w:p w:rsidR="003B3EA3" w:rsidRPr="003B3EA3" w:rsidRDefault="003B3EA3" w:rsidP="00D72F99">
            <w:pPr>
              <w:jc w:val="center"/>
              <w:rPr>
                <w:color w:val="2E74B5" w:themeColor="accent1" w:themeShade="BF"/>
                <w:highlight w:val="lightGray"/>
              </w:rPr>
            </w:pPr>
          </w:p>
        </w:tc>
        <w:tc>
          <w:tcPr>
            <w:tcW w:w="1136" w:type="dxa"/>
          </w:tcPr>
          <w:p w:rsidR="003B3EA3" w:rsidRPr="003B3EA3" w:rsidRDefault="003B3EA3" w:rsidP="00D72F99">
            <w:pPr>
              <w:rPr>
                <w:color w:val="2E74B5" w:themeColor="accent1" w:themeShade="BF"/>
              </w:rPr>
            </w:pPr>
          </w:p>
        </w:tc>
      </w:tr>
      <w:tr w:rsidR="003B3EA3" w:rsidTr="003B3EA3">
        <w:tc>
          <w:tcPr>
            <w:tcW w:w="1985" w:type="dxa"/>
            <w:vMerge w:val="restart"/>
          </w:tcPr>
          <w:p w:rsidR="003B3EA3" w:rsidRPr="003B3EA3" w:rsidRDefault="003B3EA3" w:rsidP="00D72F99">
            <w:pPr>
              <w:rPr>
                <w:b/>
                <w:bCs/>
                <w:color w:val="2E74B5" w:themeColor="accent1" w:themeShade="BF"/>
              </w:rPr>
            </w:pPr>
            <w:r w:rsidRPr="003B3EA3">
              <w:rPr>
                <w:b/>
                <w:bCs/>
                <w:color w:val="2E74B5" w:themeColor="accent1" w:themeShade="BF"/>
              </w:rPr>
              <w:t>Place Lucie Aubrac</w:t>
            </w:r>
          </w:p>
        </w:tc>
        <w:tc>
          <w:tcPr>
            <w:tcW w:w="746" w:type="dxa"/>
          </w:tcPr>
          <w:p w:rsidR="003B3EA3" w:rsidRPr="003B3EA3" w:rsidRDefault="003B3EA3" w:rsidP="00D72F99">
            <w:pPr>
              <w:jc w:val="center"/>
              <w:rPr>
                <w:b/>
                <w:bCs/>
                <w:i/>
                <w:iCs/>
                <w:color w:val="2E74B5" w:themeColor="accent1" w:themeShade="BF"/>
                <w:sz w:val="16"/>
                <w:szCs w:val="16"/>
              </w:rPr>
            </w:pPr>
            <w:r w:rsidRPr="003B3EA3">
              <w:rPr>
                <w:b/>
                <w:bCs/>
                <w:i/>
                <w:iCs/>
                <w:color w:val="2E74B5" w:themeColor="accent1" w:themeShade="BF"/>
                <w:sz w:val="16"/>
                <w:szCs w:val="16"/>
              </w:rPr>
              <w:t>Midi</w:t>
            </w:r>
          </w:p>
        </w:tc>
        <w:tc>
          <w:tcPr>
            <w:tcW w:w="965" w:type="dxa"/>
          </w:tcPr>
          <w:p w:rsidR="003B3EA3" w:rsidRPr="003B3EA3" w:rsidRDefault="003B3EA3" w:rsidP="00D72F99">
            <w:pPr>
              <w:rPr>
                <w:color w:val="2E74B5" w:themeColor="accent1" w:themeShade="BF"/>
              </w:rPr>
            </w:pPr>
          </w:p>
        </w:tc>
        <w:tc>
          <w:tcPr>
            <w:tcW w:w="962" w:type="dxa"/>
          </w:tcPr>
          <w:p w:rsidR="003B3EA3" w:rsidRPr="003B3EA3" w:rsidRDefault="003B3EA3" w:rsidP="00D72F99">
            <w:pPr>
              <w:rPr>
                <w:color w:val="2E74B5" w:themeColor="accent1" w:themeShade="BF"/>
              </w:rPr>
            </w:pPr>
          </w:p>
        </w:tc>
        <w:tc>
          <w:tcPr>
            <w:tcW w:w="1089" w:type="dxa"/>
          </w:tcPr>
          <w:p w:rsidR="003B3EA3" w:rsidRPr="003B3EA3" w:rsidRDefault="003B3EA3" w:rsidP="00D72F99">
            <w:pPr>
              <w:rPr>
                <w:color w:val="2E74B5" w:themeColor="accent1" w:themeShade="BF"/>
              </w:rPr>
            </w:pPr>
          </w:p>
        </w:tc>
        <w:tc>
          <w:tcPr>
            <w:tcW w:w="930" w:type="dxa"/>
          </w:tcPr>
          <w:p w:rsidR="003B3EA3" w:rsidRPr="003B3EA3" w:rsidRDefault="003B3EA3" w:rsidP="00D72F99">
            <w:pPr>
              <w:rPr>
                <w:color w:val="2E74B5" w:themeColor="accent1" w:themeShade="BF"/>
              </w:rPr>
            </w:pPr>
          </w:p>
        </w:tc>
        <w:tc>
          <w:tcPr>
            <w:tcW w:w="1086" w:type="dxa"/>
          </w:tcPr>
          <w:p w:rsidR="003B3EA3" w:rsidRPr="003B3EA3" w:rsidRDefault="003B3EA3" w:rsidP="00D72F99">
            <w:pPr>
              <w:rPr>
                <w:color w:val="2E74B5" w:themeColor="accent1" w:themeShade="BF"/>
              </w:rPr>
            </w:pPr>
          </w:p>
        </w:tc>
        <w:tc>
          <w:tcPr>
            <w:tcW w:w="1019" w:type="dxa"/>
          </w:tcPr>
          <w:p w:rsidR="003B3EA3" w:rsidRPr="003B3EA3" w:rsidRDefault="003B3EA3" w:rsidP="00D72F99">
            <w:pPr>
              <w:rPr>
                <w:color w:val="2E74B5" w:themeColor="accent1" w:themeShade="BF"/>
              </w:rPr>
            </w:pPr>
          </w:p>
        </w:tc>
        <w:tc>
          <w:tcPr>
            <w:tcW w:w="1136" w:type="dxa"/>
          </w:tcPr>
          <w:p w:rsidR="003B3EA3" w:rsidRPr="003B3EA3" w:rsidRDefault="003B3EA3" w:rsidP="00D72F99">
            <w:pPr>
              <w:rPr>
                <w:color w:val="2E74B5" w:themeColor="accent1" w:themeShade="BF"/>
              </w:rPr>
            </w:pPr>
          </w:p>
        </w:tc>
      </w:tr>
      <w:tr w:rsidR="003B3EA3" w:rsidTr="003B3EA3">
        <w:tc>
          <w:tcPr>
            <w:tcW w:w="1985" w:type="dxa"/>
            <w:vMerge/>
          </w:tcPr>
          <w:p w:rsidR="003B3EA3" w:rsidRPr="003B3EA3" w:rsidRDefault="003B3EA3" w:rsidP="00D72F99">
            <w:pPr>
              <w:rPr>
                <w:b/>
                <w:bCs/>
                <w:color w:val="2E74B5" w:themeColor="accent1" w:themeShade="BF"/>
              </w:rPr>
            </w:pPr>
          </w:p>
        </w:tc>
        <w:tc>
          <w:tcPr>
            <w:tcW w:w="746" w:type="dxa"/>
          </w:tcPr>
          <w:p w:rsidR="003B3EA3" w:rsidRPr="003B3EA3" w:rsidRDefault="003B3EA3" w:rsidP="00D72F99">
            <w:pPr>
              <w:jc w:val="center"/>
              <w:rPr>
                <w:b/>
                <w:bCs/>
                <w:i/>
                <w:iCs/>
                <w:color w:val="2E74B5" w:themeColor="accent1" w:themeShade="BF"/>
                <w:sz w:val="16"/>
                <w:szCs w:val="16"/>
              </w:rPr>
            </w:pPr>
            <w:r w:rsidRPr="003B3EA3">
              <w:rPr>
                <w:b/>
                <w:bCs/>
                <w:i/>
                <w:iCs/>
                <w:color w:val="2E74B5" w:themeColor="accent1" w:themeShade="BF"/>
                <w:sz w:val="16"/>
                <w:szCs w:val="16"/>
              </w:rPr>
              <w:t>Soir</w:t>
            </w:r>
          </w:p>
        </w:tc>
        <w:tc>
          <w:tcPr>
            <w:tcW w:w="965" w:type="dxa"/>
          </w:tcPr>
          <w:p w:rsidR="003B3EA3" w:rsidRPr="003B3EA3" w:rsidRDefault="003B3EA3" w:rsidP="00D72F99">
            <w:pPr>
              <w:rPr>
                <w:color w:val="2E74B5" w:themeColor="accent1" w:themeShade="BF"/>
              </w:rPr>
            </w:pPr>
          </w:p>
        </w:tc>
        <w:tc>
          <w:tcPr>
            <w:tcW w:w="962" w:type="dxa"/>
          </w:tcPr>
          <w:p w:rsidR="003B3EA3" w:rsidRPr="003B3EA3" w:rsidRDefault="003B3EA3" w:rsidP="00D72F99">
            <w:pPr>
              <w:rPr>
                <w:color w:val="2E74B5" w:themeColor="accent1" w:themeShade="BF"/>
              </w:rPr>
            </w:pPr>
          </w:p>
        </w:tc>
        <w:tc>
          <w:tcPr>
            <w:tcW w:w="1089" w:type="dxa"/>
          </w:tcPr>
          <w:p w:rsidR="003B3EA3" w:rsidRPr="003B3EA3" w:rsidRDefault="003B3EA3" w:rsidP="00D72F99">
            <w:pPr>
              <w:rPr>
                <w:color w:val="2E74B5" w:themeColor="accent1" w:themeShade="BF"/>
              </w:rPr>
            </w:pPr>
          </w:p>
        </w:tc>
        <w:tc>
          <w:tcPr>
            <w:tcW w:w="930" w:type="dxa"/>
          </w:tcPr>
          <w:p w:rsidR="003B3EA3" w:rsidRPr="003B3EA3" w:rsidRDefault="003B3EA3" w:rsidP="00D72F99">
            <w:pPr>
              <w:rPr>
                <w:color w:val="2E74B5" w:themeColor="accent1" w:themeShade="BF"/>
              </w:rPr>
            </w:pPr>
          </w:p>
        </w:tc>
        <w:tc>
          <w:tcPr>
            <w:tcW w:w="1086" w:type="dxa"/>
          </w:tcPr>
          <w:p w:rsidR="003B3EA3" w:rsidRPr="003B3EA3" w:rsidRDefault="003B3EA3" w:rsidP="00D72F99">
            <w:pPr>
              <w:rPr>
                <w:color w:val="2E74B5" w:themeColor="accent1" w:themeShade="BF"/>
              </w:rPr>
            </w:pPr>
          </w:p>
        </w:tc>
        <w:tc>
          <w:tcPr>
            <w:tcW w:w="1019" w:type="dxa"/>
          </w:tcPr>
          <w:p w:rsidR="003B3EA3" w:rsidRPr="003B3EA3" w:rsidRDefault="003B3EA3" w:rsidP="00D72F99">
            <w:pPr>
              <w:rPr>
                <w:color w:val="2E74B5" w:themeColor="accent1" w:themeShade="BF"/>
              </w:rPr>
            </w:pPr>
          </w:p>
        </w:tc>
        <w:tc>
          <w:tcPr>
            <w:tcW w:w="1136" w:type="dxa"/>
          </w:tcPr>
          <w:p w:rsidR="003B3EA3" w:rsidRPr="003B3EA3" w:rsidRDefault="003B3EA3" w:rsidP="00D72F99">
            <w:pPr>
              <w:rPr>
                <w:color w:val="2E74B5" w:themeColor="accent1" w:themeShade="BF"/>
              </w:rPr>
            </w:pPr>
          </w:p>
        </w:tc>
      </w:tr>
      <w:tr w:rsidR="003B3EA3" w:rsidTr="003B3EA3">
        <w:tc>
          <w:tcPr>
            <w:tcW w:w="1985" w:type="dxa"/>
            <w:vMerge w:val="restart"/>
          </w:tcPr>
          <w:p w:rsidR="003B3EA3" w:rsidRPr="003B3EA3" w:rsidRDefault="003B3EA3" w:rsidP="00D72F99">
            <w:pPr>
              <w:rPr>
                <w:b/>
                <w:bCs/>
                <w:color w:val="2E74B5" w:themeColor="accent1" w:themeShade="BF"/>
              </w:rPr>
            </w:pPr>
            <w:r w:rsidRPr="003B3EA3">
              <w:rPr>
                <w:b/>
                <w:bCs/>
                <w:color w:val="2E74B5" w:themeColor="accent1" w:themeShade="BF"/>
              </w:rPr>
              <w:t xml:space="preserve">Léo Ferré </w:t>
            </w:r>
          </w:p>
        </w:tc>
        <w:tc>
          <w:tcPr>
            <w:tcW w:w="746" w:type="dxa"/>
          </w:tcPr>
          <w:p w:rsidR="003B3EA3" w:rsidRPr="003B3EA3" w:rsidRDefault="003B3EA3" w:rsidP="00D72F99">
            <w:pPr>
              <w:jc w:val="center"/>
              <w:rPr>
                <w:b/>
                <w:bCs/>
                <w:i/>
                <w:iCs/>
                <w:color w:val="2E74B5" w:themeColor="accent1" w:themeShade="BF"/>
                <w:sz w:val="16"/>
                <w:szCs w:val="16"/>
              </w:rPr>
            </w:pPr>
            <w:r w:rsidRPr="003B3EA3">
              <w:rPr>
                <w:b/>
                <w:bCs/>
                <w:i/>
                <w:iCs/>
                <w:color w:val="2E74B5" w:themeColor="accent1" w:themeShade="BF"/>
                <w:sz w:val="16"/>
                <w:szCs w:val="16"/>
              </w:rPr>
              <w:t>Midi</w:t>
            </w:r>
          </w:p>
        </w:tc>
        <w:tc>
          <w:tcPr>
            <w:tcW w:w="965" w:type="dxa"/>
          </w:tcPr>
          <w:p w:rsidR="003B3EA3" w:rsidRPr="003B3EA3" w:rsidRDefault="003B3EA3" w:rsidP="00D72F99">
            <w:pPr>
              <w:rPr>
                <w:color w:val="2E74B5" w:themeColor="accent1" w:themeShade="BF"/>
              </w:rPr>
            </w:pPr>
          </w:p>
        </w:tc>
        <w:tc>
          <w:tcPr>
            <w:tcW w:w="962" w:type="dxa"/>
          </w:tcPr>
          <w:p w:rsidR="003B3EA3" w:rsidRPr="003B3EA3" w:rsidRDefault="003B3EA3" w:rsidP="00D72F99">
            <w:pPr>
              <w:rPr>
                <w:color w:val="2E74B5" w:themeColor="accent1" w:themeShade="BF"/>
              </w:rPr>
            </w:pPr>
          </w:p>
        </w:tc>
        <w:tc>
          <w:tcPr>
            <w:tcW w:w="1089" w:type="dxa"/>
          </w:tcPr>
          <w:p w:rsidR="003B3EA3" w:rsidRPr="003B3EA3" w:rsidRDefault="003B3EA3" w:rsidP="00D72F99">
            <w:pPr>
              <w:rPr>
                <w:color w:val="2E74B5" w:themeColor="accent1" w:themeShade="BF"/>
              </w:rPr>
            </w:pPr>
          </w:p>
        </w:tc>
        <w:tc>
          <w:tcPr>
            <w:tcW w:w="930" w:type="dxa"/>
          </w:tcPr>
          <w:p w:rsidR="003B3EA3" w:rsidRPr="003B3EA3" w:rsidRDefault="00D779AD" w:rsidP="00D72F99">
            <w:pPr>
              <w:jc w:val="center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X</w:t>
            </w:r>
          </w:p>
        </w:tc>
        <w:tc>
          <w:tcPr>
            <w:tcW w:w="1086" w:type="dxa"/>
          </w:tcPr>
          <w:p w:rsidR="003B3EA3" w:rsidRPr="003B3EA3" w:rsidRDefault="003B3EA3" w:rsidP="00D72F99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019" w:type="dxa"/>
          </w:tcPr>
          <w:p w:rsidR="003B3EA3" w:rsidRPr="003B3EA3" w:rsidRDefault="003B3EA3" w:rsidP="00D72F99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136" w:type="dxa"/>
          </w:tcPr>
          <w:p w:rsidR="003B3EA3" w:rsidRPr="003B3EA3" w:rsidRDefault="00D779AD" w:rsidP="00D72F99">
            <w:pPr>
              <w:jc w:val="center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X</w:t>
            </w:r>
          </w:p>
        </w:tc>
      </w:tr>
      <w:tr w:rsidR="003B3EA3" w:rsidTr="003B3EA3">
        <w:tc>
          <w:tcPr>
            <w:tcW w:w="1985" w:type="dxa"/>
            <w:vMerge/>
          </w:tcPr>
          <w:p w:rsidR="003B3EA3" w:rsidRPr="00941C36" w:rsidRDefault="003B3EA3" w:rsidP="00D72F99">
            <w:pPr>
              <w:rPr>
                <w:b/>
                <w:bCs/>
              </w:rPr>
            </w:pPr>
          </w:p>
        </w:tc>
        <w:tc>
          <w:tcPr>
            <w:tcW w:w="746" w:type="dxa"/>
          </w:tcPr>
          <w:p w:rsidR="003B3EA3" w:rsidRPr="003B3EA3" w:rsidRDefault="003B3EA3" w:rsidP="00D72F99">
            <w:pPr>
              <w:jc w:val="center"/>
              <w:rPr>
                <w:b/>
                <w:bCs/>
                <w:i/>
                <w:iCs/>
                <w:color w:val="2E74B5" w:themeColor="accent1" w:themeShade="BF"/>
                <w:sz w:val="16"/>
                <w:szCs w:val="16"/>
              </w:rPr>
            </w:pPr>
            <w:r w:rsidRPr="003B3EA3">
              <w:rPr>
                <w:b/>
                <w:bCs/>
                <w:i/>
                <w:iCs/>
                <w:color w:val="2E74B5" w:themeColor="accent1" w:themeShade="BF"/>
                <w:sz w:val="16"/>
                <w:szCs w:val="16"/>
              </w:rPr>
              <w:t>Soir</w:t>
            </w:r>
          </w:p>
        </w:tc>
        <w:tc>
          <w:tcPr>
            <w:tcW w:w="965" w:type="dxa"/>
          </w:tcPr>
          <w:p w:rsidR="003B3EA3" w:rsidRPr="003B3EA3" w:rsidRDefault="003B3EA3" w:rsidP="00D72F99">
            <w:pPr>
              <w:rPr>
                <w:color w:val="2E74B5" w:themeColor="accent1" w:themeShade="BF"/>
              </w:rPr>
            </w:pPr>
          </w:p>
        </w:tc>
        <w:tc>
          <w:tcPr>
            <w:tcW w:w="962" w:type="dxa"/>
          </w:tcPr>
          <w:p w:rsidR="003B3EA3" w:rsidRPr="003B3EA3" w:rsidRDefault="003B3EA3" w:rsidP="00D72F99">
            <w:pPr>
              <w:rPr>
                <w:color w:val="2E74B5" w:themeColor="accent1" w:themeShade="BF"/>
              </w:rPr>
            </w:pPr>
          </w:p>
        </w:tc>
        <w:tc>
          <w:tcPr>
            <w:tcW w:w="1089" w:type="dxa"/>
          </w:tcPr>
          <w:p w:rsidR="003B3EA3" w:rsidRPr="003B3EA3" w:rsidRDefault="00D779AD" w:rsidP="00D779AD">
            <w:pPr>
              <w:jc w:val="center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X</w:t>
            </w:r>
          </w:p>
        </w:tc>
        <w:tc>
          <w:tcPr>
            <w:tcW w:w="930" w:type="dxa"/>
          </w:tcPr>
          <w:p w:rsidR="003B3EA3" w:rsidRPr="003B3EA3" w:rsidRDefault="003B3EA3" w:rsidP="00D72F99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086" w:type="dxa"/>
          </w:tcPr>
          <w:p w:rsidR="003B3EA3" w:rsidRPr="003B3EA3" w:rsidRDefault="003B3EA3" w:rsidP="00D72F99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019" w:type="dxa"/>
          </w:tcPr>
          <w:p w:rsidR="003B3EA3" w:rsidRPr="003B3EA3" w:rsidRDefault="00D779AD" w:rsidP="00D72F99">
            <w:pPr>
              <w:jc w:val="center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X</w:t>
            </w:r>
          </w:p>
        </w:tc>
        <w:tc>
          <w:tcPr>
            <w:tcW w:w="1136" w:type="dxa"/>
          </w:tcPr>
          <w:p w:rsidR="003B3EA3" w:rsidRPr="003B3EA3" w:rsidRDefault="003B3EA3" w:rsidP="00D72F99">
            <w:pPr>
              <w:jc w:val="center"/>
              <w:rPr>
                <w:color w:val="2E74B5" w:themeColor="accent1" w:themeShade="BF"/>
              </w:rPr>
            </w:pPr>
          </w:p>
        </w:tc>
      </w:tr>
    </w:tbl>
    <w:p w:rsidR="00C06B38" w:rsidRDefault="00C06B38" w:rsidP="00C06B3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E74B5" w:themeColor="accent1" w:themeShade="BF"/>
        </w:rPr>
      </w:pPr>
    </w:p>
    <w:p w:rsidR="00D779AD" w:rsidRPr="00D779AD" w:rsidRDefault="00D779AD" w:rsidP="00C06B3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i/>
          <w:color w:val="000000" w:themeColor="text1"/>
          <w:sz w:val="20"/>
          <w:szCs w:val="20"/>
        </w:rPr>
      </w:pPr>
      <w:r w:rsidRPr="00D779AD">
        <w:rPr>
          <w:rFonts w:ascii="Calibri-Bold" w:hAnsi="Calibri-Bold" w:cs="Calibri-Bold"/>
          <w:bCs/>
          <w:i/>
          <w:color w:val="000000" w:themeColor="text1"/>
          <w:sz w:val="20"/>
          <w:szCs w:val="20"/>
        </w:rPr>
        <w:t>Créneau du midi : installation à partir de 11h, évacuation des lieux à 15h au plus tard</w:t>
      </w:r>
    </w:p>
    <w:p w:rsidR="00D779AD" w:rsidRPr="00D779AD" w:rsidRDefault="00D779AD" w:rsidP="00C06B3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i/>
          <w:color w:val="000000" w:themeColor="text1"/>
          <w:sz w:val="20"/>
          <w:szCs w:val="20"/>
        </w:rPr>
      </w:pPr>
      <w:r w:rsidRPr="00D779AD">
        <w:rPr>
          <w:rFonts w:ascii="Calibri-Bold" w:hAnsi="Calibri-Bold" w:cs="Calibri-Bold"/>
          <w:bCs/>
          <w:i/>
          <w:color w:val="000000" w:themeColor="text1"/>
          <w:sz w:val="20"/>
          <w:szCs w:val="20"/>
        </w:rPr>
        <w:t>Créneau du soir : installation à partir de 18h, évacuation des lieux à 22h au plus tard</w:t>
      </w:r>
    </w:p>
    <w:p w:rsidR="00CA2501" w:rsidRDefault="00CA2501" w:rsidP="006A7E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8"/>
          <w:szCs w:val="18"/>
        </w:rPr>
      </w:pPr>
    </w:p>
    <w:p w:rsidR="006A7E07" w:rsidRDefault="006A7E07" w:rsidP="00CA25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 dehors de ces emplacements prévisionnels, les opérateurs sont susceptibles d’</w:t>
      </w:r>
      <w:r w:rsidR="00CA2501">
        <w:rPr>
          <w:rFonts w:ascii="Calibri" w:hAnsi="Calibri" w:cs="Calibri"/>
          <w:color w:val="000000"/>
        </w:rPr>
        <w:t xml:space="preserve">intervenir ponctuellement sur </w:t>
      </w:r>
      <w:r>
        <w:rPr>
          <w:rFonts w:ascii="Calibri" w:hAnsi="Calibri" w:cs="Calibri"/>
          <w:color w:val="000000"/>
        </w:rPr>
        <w:t>d’autres créneaux/lieux notamment dans le cadre d’éventuelles manifestations/fêtes de quartiers…</w:t>
      </w:r>
    </w:p>
    <w:p w:rsidR="00D779AD" w:rsidRDefault="00D779AD" w:rsidP="00CA25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779AD" w:rsidRDefault="00D779AD" w:rsidP="00CA25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779AD" w:rsidRDefault="00D779AD" w:rsidP="00CA25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779AD" w:rsidRDefault="00D779AD" w:rsidP="00CA25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779AD" w:rsidRDefault="00D779AD" w:rsidP="00CA25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779AD" w:rsidRDefault="00D779AD" w:rsidP="00CA25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779AD" w:rsidRDefault="00D779AD" w:rsidP="00CA25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779AD" w:rsidRDefault="00D779AD" w:rsidP="00CA25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779AD" w:rsidRDefault="00D779AD" w:rsidP="00CA25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CA2501" w:rsidRDefault="00CA2501" w:rsidP="006A7E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A7E07" w:rsidRDefault="003B3EA3" w:rsidP="006A7E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1"/>
        </w:rPr>
      </w:pPr>
      <w:r>
        <w:rPr>
          <w:rFonts w:ascii="Calibri-Bold" w:hAnsi="Calibri-Bold" w:cs="Calibri-Bold"/>
          <w:b/>
          <w:bCs/>
          <w:color w:val="0070C1"/>
        </w:rPr>
        <w:t>2</w:t>
      </w:r>
      <w:r w:rsidR="006A7E07" w:rsidRPr="00CA2501">
        <w:rPr>
          <w:rFonts w:ascii="Calibri-Bold" w:hAnsi="Calibri-Bold" w:cs="Calibri-Bold"/>
          <w:b/>
          <w:bCs/>
          <w:color w:val="0070C1"/>
        </w:rPr>
        <w:t>. La prestation</w:t>
      </w:r>
    </w:p>
    <w:p w:rsidR="003B3EA3" w:rsidRPr="00CA2501" w:rsidRDefault="003B3EA3" w:rsidP="006A7E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1"/>
        </w:rPr>
      </w:pPr>
    </w:p>
    <w:p w:rsidR="006A7E07" w:rsidRDefault="006A7E07" w:rsidP="00D779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 service « Food truck » devra être assuré toute l’année, selon un planning de pré</w:t>
      </w:r>
      <w:r w:rsidR="00CA2501">
        <w:rPr>
          <w:rFonts w:ascii="Calibri" w:hAnsi="Calibri" w:cs="Calibri"/>
          <w:color w:val="000000"/>
        </w:rPr>
        <w:t xml:space="preserve">sence préétabli avec la commune </w:t>
      </w:r>
      <w:r>
        <w:rPr>
          <w:rFonts w:ascii="Calibri" w:hAnsi="Calibri" w:cs="Calibri"/>
          <w:color w:val="000000"/>
        </w:rPr>
        <w:t>(planning annuel ajusté chaque mois).</w:t>
      </w:r>
    </w:p>
    <w:p w:rsidR="006A7E07" w:rsidRDefault="00CA2501" w:rsidP="00D779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 Ville de Bagneux</w:t>
      </w:r>
      <w:r w:rsidR="006A7E07">
        <w:rPr>
          <w:rFonts w:ascii="Calibri" w:hAnsi="Calibri" w:cs="Calibri"/>
          <w:color w:val="000000"/>
        </w:rPr>
        <w:t xml:space="preserve"> se charge de communiquer régulièrement le planning</w:t>
      </w:r>
      <w:r>
        <w:rPr>
          <w:rFonts w:ascii="Calibri" w:hAnsi="Calibri" w:cs="Calibri"/>
          <w:color w:val="000000"/>
        </w:rPr>
        <w:t xml:space="preserve"> ajusté de présence des camions </w:t>
      </w:r>
      <w:r w:rsidR="006A7E07">
        <w:rPr>
          <w:rFonts w:ascii="Calibri" w:hAnsi="Calibri" w:cs="Calibri"/>
          <w:color w:val="000000"/>
        </w:rPr>
        <w:t>restaurant sur les emplacements et plages ho</w:t>
      </w:r>
      <w:r>
        <w:rPr>
          <w:rFonts w:ascii="Calibri" w:hAnsi="Calibri" w:cs="Calibri"/>
          <w:color w:val="000000"/>
        </w:rPr>
        <w:t>raires dédiées</w:t>
      </w:r>
      <w:r w:rsidR="006A7E07">
        <w:rPr>
          <w:rFonts w:ascii="Calibri" w:hAnsi="Calibri" w:cs="Calibri"/>
          <w:color w:val="000000"/>
        </w:rPr>
        <w:t xml:space="preserve"> via son site internet, son journal</w:t>
      </w:r>
    </w:p>
    <w:p w:rsidR="006A7E07" w:rsidRDefault="00CA2501" w:rsidP="00D779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Communal</w:t>
      </w:r>
      <w:r w:rsidR="006A7E07">
        <w:rPr>
          <w:rFonts w:ascii="Calibri" w:hAnsi="Calibri" w:cs="Calibri"/>
          <w:color w:val="000000"/>
        </w:rPr>
        <w:t xml:space="preserve"> et autres supports de communication adaptés</w:t>
      </w:r>
      <w:r>
        <w:rPr>
          <w:rFonts w:ascii="Calibri" w:hAnsi="Calibri" w:cs="Calibri"/>
          <w:color w:val="000000"/>
        </w:rPr>
        <w:t>.</w:t>
      </w:r>
      <w:r w:rsidR="006A7E07">
        <w:rPr>
          <w:rFonts w:ascii="Calibri" w:hAnsi="Calibri" w:cs="Calibri"/>
          <w:color w:val="000000"/>
        </w:rPr>
        <w:t xml:space="preserve"> </w:t>
      </w:r>
    </w:p>
    <w:p w:rsidR="006A7E07" w:rsidRDefault="006A7E07" w:rsidP="00D779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 candidat indiquera dans son dossier de candidature le(s) jour(s) et emplacement(s) au(x)quel(s) il souhaite postuler.</w:t>
      </w:r>
    </w:p>
    <w:p w:rsidR="006A7E07" w:rsidRDefault="006A7E07" w:rsidP="00D779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 fonction du nombre de candidatures retenues pour chaque emplacement (d</w:t>
      </w:r>
      <w:r w:rsidR="00CA2501">
        <w:rPr>
          <w:rFonts w:ascii="Calibri" w:hAnsi="Calibri" w:cs="Calibri"/>
          <w:color w:val="000000"/>
        </w:rPr>
        <w:t xml:space="preserve">oublon sur un même lieu/jour de </w:t>
      </w:r>
      <w:r>
        <w:rPr>
          <w:rFonts w:ascii="Calibri" w:hAnsi="Calibri" w:cs="Calibri"/>
          <w:color w:val="000000"/>
        </w:rPr>
        <w:t xml:space="preserve">présence souhaité), un roulement de présence après consultation/validation des </w:t>
      </w:r>
      <w:r w:rsidR="00CA2501">
        <w:rPr>
          <w:rFonts w:ascii="Calibri" w:hAnsi="Calibri" w:cs="Calibri"/>
          <w:color w:val="000000"/>
        </w:rPr>
        <w:t xml:space="preserve">candidats pourra éventuellement </w:t>
      </w:r>
      <w:r>
        <w:rPr>
          <w:rFonts w:ascii="Calibri" w:hAnsi="Calibri" w:cs="Calibri"/>
          <w:color w:val="000000"/>
        </w:rPr>
        <w:t>être instauré (une semaine sur deux).</w:t>
      </w:r>
    </w:p>
    <w:p w:rsidR="00CA2501" w:rsidRDefault="00CA2501" w:rsidP="006A7E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A7E07" w:rsidRDefault="003B3EA3" w:rsidP="006A7E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1"/>
        </w:rPr>
      </w:pPr>
      <w:r>
        <w:rPr>
          <w:rFonts w:ascii="Calibri-Bold" w:hAnsi="Calibri-Bold" w:cs="Calibri-Bold"/>
          <w:b/>
          <w:bCs/>
          <w:color w:val="0070C1"/>
        </w:rPr>
        <w:t>3</w:t>
      </w:r>
      <w:r w:rsidR="006A7E07" w:rsidRPr="00CA2501">
        <w:rPr>
          <w:rFonts w:ascii="Calibri-Bold" w:hAnsi="Calibri-Bold" w:cs="Calibri-Bold"/>
          <w:b/>
          <w:bCs/>
          <w:color w:val="0070C1"/>
        </w:rPr>
        <w:t xml:space="preserve">. Démarrage effectif de l’activité </w:t>
      </w:r>
      <w:proofErr w:type="spellStart"/>
      <w:r w:rsidR="006A7E07" w:rsidRPr="00CA2501">
        <w:rPr>
          <w:rFonts w:ascii="Calibri-Bold" w:hAnsi="Calibri-Bold" w:cs="Calibri-Bold"/>
          <w:b/>
          <w:bCs/>
          <w:color w:val="0070C1"/>
        </w:rPr>
        <w:t>food</w:t>
      </w:r>
      <w:proofErr w:type="spellEnd"/>
      <w:r w:rsidR="006A7E07" w:rsidRPr="00CA2501">
        <w:rPr>
          <w:rFonts w:ascii="Calibri-Bold" w:hAnsi="Calibri-Bold" w:cs="Calibri-Bold"/>
          <w:b/>
          <w:bCs/>
          <w:color w:val="0070C1"/>
        </w:rPr>
        <w:t xml:space="preserve"> truck des candidats validés</w:t>
      </w:r>
    </w:p>
    <w:p w:rsidR="003B3EA3" w:rsidRPr="00CA2501" w:rsidRDefault="003B3EA3" w:rsidP="006A7E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1"/>
        </w:rPr>
      </w:pPr>
    </w:p>
    <w:p w:rsidR="000610BF" w:rsidRDefault="006A7E07" w:rsidP="000610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Il est prévu que le planning des occupations des emplacements </w:t>
      </w:r>
      <w:proofErr w:type="spellStart"/>
      <w:r>
        <w:rPr>
          <w:rFonts w:ascii="Calibri" w:hAnsi="Calibri" w:cs="Calibri"/>
          <w:color w:val="000000"/>
        </w:rPr>
        <w:t>food</w:t>
      </w:r>
      <w:proofErr w:type="spellEnd"/>
      <w:r>
        <w:rPr>
          <w:rFonts w:ascii="Calibri" w:hAnsi="Calibri" w:cs="Calibri"/>
          <w:color w:val="000000"/>
        </w:rPr>
        <w:t xml:space="preserve"> tru</w:t>
      </w:r>
      <w:r w:rsidR="000610BF">
        <w:rPr>
          <w:rFonts w:ascii="Calibri" w:hAnsi="Calibri" w:cs="Calibri"/>
          <w:color w:val="000000"/>
        </w:rPr>
        <w:t xml:space="preserve">ck débute le mercredi 1er mai </w:t>
      </w:r>
      <w:r>
        <w:rPr>
          <w:rFonts w:ascii="Calibri" w:hAnsi="Calibri" w:cs="Calibri"/>
          <w:color w:val="000000"/>
        </w:rPr>
        <w:t>2023.</w:t>
      </w:r>
    </w:p>
    <w:p w:rsidR="000610BF" w:rsidRDefault="000610BF" w:rsidP="000610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6A7E07" w:rsidRDefault="003B3EA3" w:rsidP="000610B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70C1"/>
        </w:rPr>
      </w:pPr>
      <w:r>
        <w:rPr>
          <w:rFonts w:ascii="Calibri-Bold" w:hAnsi="Calibri-Bold" w:cs="Calibri-Bold"/>
          <w:b/>
          <w:bCs/>
          <w:color w:val="0070C1"/>
        </w:rPr>
        <w:t>4</w:t>
      </w:r>
      <w:r w:rsidR="006A7E07" w:rsidRPr="000610BF">
        <w:rPr>
          <w:rFonts w:ascii="Calibri-Bold" w:hAnsi="Calibri-Bold" w:cs="Calibri-Bold"/>
          <w:b/>
          <w:bCs/>
          <w:color w:val="0070C1"/>
        </w:rPr>
        <w:t>. Alimentation en fluide/énergie</w:t>
      </w:r>
    </w:p>
    <w:p w:rsidR="003B3EA3" w:rsidRPr="000610BF" w:rsidRDefault="003B3EA3" w:rsidP="000610B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70C1"/>
        </w:rPr>
      </w:pPr>
    </w:p>
    <w:p w:rsidR="006A7E07" w:rsidRDefault="006A7E07" w:rsidP="000610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Le candidat pourra bénéficier durant l’exercice de son activité à une alimentation </w:t>
      </w:r>
      <w:r w:rsidR="000610BF">
        <w:rPr>
          <w:rFonts w:ascii="Calibri" w:hAnsi="Calibri" w:cs="Calibri"/>
          <w:color w:val="000000"/>
        </w:rPr>
        <w:t>électrique</w:t>
      </w:r>
      <w:r w:rsidR="00D779AD">
        <w:rPr>
          <w:rFonts w:ascii="Calibri" w:hAnsi="Calibri" w:cs="Calibri"/>
          <w:color w:val="000000"/>
        </w:rPr>
        <w:t xml:space="preserve"> communal hors mi sur l’emplacement de Léo ferré</w:t>
      </w:r>
      <w:r w:rsidRPr="00791322">
        <w:rPr>
          <w:rFonts w:ascii="Calibri" w:hAnsi="Calibri" w:cs="Calibri"/>
          <w:color w:val="000000"/>
        </w:rPr>
        <w:t>.</w:t>
      </w:r>
      <w:r w:rsidR="00D779AD">
        <w:rPr>
          <w:rFonts w:ascii="Calibri" w:hAnsi="Calibri" w:cs="Calibri"/>
          <w:color w:val="000000"/>
        </w:rPr>
        <w:t xml:space="preserve"> </w:t>
      </w:r>
      <w:r w:rsidRPr="00791322">
        <w:rPr>
          <w:rFonts w:ascii="Calibri" w:hAnsi="Calibri" w:cs="Calibri"/>
          <w:color w:val="000000"/>
        </w:rPr>
        <w:t xml:space="preserve"> Il n’y a pas de point d’eau potable à disposition sur / à proximité des emplacements dédiés.</w:t>
      </w:r>
    </w:p>
    <w:p w:rsidR="000610BF" w:rsidRDefault="000610BF" w:rsidP="006A7E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A7E07" w:rsidRDefault="003B3EA3" w:rsidP="006A7E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1"/>
        </w:rPr>
      </w:pPr>
      <w:r>
        <w:rPr>
          <w:rFonts w:ascii="Calibri-Bold" w:hAnsi="Calibri-Bold" w:cs="Calibri-Bold"/>
          <w:b/>
          <w:bCs/>
          <w:color w:val="0070C1"/>
        </w:rPr>
        <w:t>5</w:t>
      </w:r>
      <w:r w:rsidR="006A7E07" w:rsidRPr="000610BF">
        <w:rPr>
          <w:rFonts w:ascii="Calibri-Bold" w:hAnsi="Calibri-Bold" w:cs="Calibri-Bold"/>
          <w:b/>
          <w:bCs/>
          <w:color w:val="0070C1"/>
        </w:rPr>
        <w:t>. Durée de l’autorisation d’occupation du domaine public</w:t>
      </w:r>
    </w:p>
    <w:p w:rsidR="003B3EA3" w:rsidRPr="000610BF" w:rsidRDefault="003B3EA3" w:rsidP="006A7E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1"/>
        </w:rPr>
      </w:pPr>
    </w:p>
    <w:p w:rsidR="006A7E07" w:rsidRDefault="006A7E07" w:rsidP="000610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 sera délivré à l’opérateur sélectionné une autorisation d’occupation du domaine publ</w:t>
      </w:r>
      <w:r w:rsidR="000610BF">
        <w:rPr>
          <w:rFonts w:ascii="Calibri" w:hAnsi="Calibri" w:cs="Calibri"/>
          <w:color w:val="000000"/>
        </w:rPr>
        <w:t xml:space="preserve">ic, précaire et révocable, pour </w:t>
      </w:r>
      <w:r>
        <w:rPr>
          <w:rFonts w:ascii="Calibri" w:hAnsi="Calibri" w:cs="Calibri"/>
          <w:color w:val="000000"/>
        </w:rPr>
        <w:t>une période d</w:t>
      </w:r>
      <w:r w:rsidR="000610BF">
        <w:rPr>
          <w:rFonts w:ascii="Calibri" w:hAnsi="Calibri" w:cs="Calibri"/>
          <w:color w:val="000000"/>
        </w:rPr>
        <w:t>e 6 mois à un an à compter du 01 mai</w:t>
      </w:r>
      <w:r>
        <w:rPr>
          <w:rFonts w:ascii="Calibri" w:hAnsi="Calibri" w:cs="Calibri"/>
          <w:color w:val="000000"/>
        </w:rPr>
        <w:t xml:space="preserve"> 2023 selo</w:t>
      </w:r>
      <w:r w:rsidR="000610BF">
        <w:rPr>
          <w:rFonts w:ascii="Calibri" w:hAnsi="Calibri" w:cs="Calibri"/>
          <w:color w:val="000000"/>
        </w:rPr>
        <w:t xml:space="preserve">n un planning précis établi par </w:t>
      </w:r>
      <w:r>
        <w:rPr>
          <w:rFonts w:ascii="Calibri" w:hAnsi="Calibri" w:cs="Calibri"/>
          <w:color w:val="000000"/>
        </w:rPr>
        <w:t xml:space="preserve">trimestre. L’autorisation ne peut être </w:t>
      </w:r>
      <w:r w:rsidR="000610BF">
        <w:rPr>
          <w:rFonts w:ascii="Calibri" w:hAnsi="Calibri" w:cs="Calibri"/>
          <w:color w:val="000000"/>
        </w:rPr>
        <w:t>renouvelée</w:t>
      </w:r>
      <w:r>
        <w:rPr>
          <w:rFonts w:ascii="Calibri" w:hAnsi="Calibri" w:cs="Calibri"/>
          <w:color w:val="000000"/>
        </w:rPr>
        <w:t xml:space="preserve"> que par accord tac</w:t>
      </w:r>
      <w:r w:rsidR="000610BF">
        <w:rPr>
          <w:rFonts w:ascii="Calibri" w:hAnsi="Calibri" w:cs="Calibri"/>
          <w:color w:val="000000"/>
        </w:rPr>
        <w:t>ite de la Ville de Bagneux</w:t>
      </w:r>
      <w:r>
        <w:rPr>
          <w:rFonts w:ascii="Calibri" w:hAnsi="Calibri" w:cs="Calibri"/>
          <w:color w:val="000000"/>
        </w:rPr>
        <w:t>.</w:t>
      </w:r>
    </w:p>
    <w:p w:rsidR="000610BF" w:rsidRDefault="000610BF" w:rsidP="006A7E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A7E07" w:rsidRDefault="003B3EA3" w:rsidP="00D779AD">
      <w:pPr>
        <w:tabs>
          <w:tab w:val="left" w:pos="4905"/>
        </w:tabs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1"/>
        </w:rPr>
      </w:pPr>
      <w:r>
        <w:rPr>
          <w:rFonts w:ascii="Calibri-Bold" w:hAnsi="Calibri-Bold" w:cs="Calibri-Bold"/>
          <w:b/>
          <w:bCs/>
          <w:color w:val="0070C1"/>
        </w:rPr>
        <w:t>6</w:t>
      </w:r>
      <w:r w:rsidR="006A7E07" w:rsidRPr="000610BF">
        <w:rPr>
          <w:rFonts w:ascii="Calibri-Bold" w:hAnsi="Calibri-Bold" w:cs="Calibri-Bold"/>
          <w:b/>
          <w:bCs/>
          <w:color w:val="0070C1"/>
        </w:rPr>
        <w:t>. Incapacité à assurer le service prévu</w:t>
      </w:r>
      <w:r w:rsidR="00D779AD">
        <w:rPr>
          <w:rFonts w:ascii="Calibri-Bold" w:hAnsi="Calibri-Bold" w:cs="Calibri-Bold"/>
          <w:b/>
          <w:bCs/>
          <w:color w:val="0070C1"/>
        </w:rPr>
        <w:tab/>
      </w:r>
    </w:p>
    <w:p w:rsidR="00D779AD" w:rsidRPr="000610BF" w:rsidRDefault="00D779AD" w:rsidP="00D779AD">
      <w:pPr>
        <w:tabs>
          <w:tab w:val="left" w:pos="4905"/>
        </w:tabs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1"/>
        </w:rPr>
      </w:pPr>
    </w:p>
    <w:p w:rsidR="000610BF" w:rsidRDefault="006A7E07" w:rsidP="000610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Toute incapacité à assurer le service prévu devra être signal</w:t>
      </w:r>
      <w:r w:rsidR="000610BF">
        <w:rPr>
          <w:rFonts w:ascii="Calibri" w:hAnsi="Calibri" w:cs="Calibri"/>
          <w:color w:val="000000"/>
        </w:rPr>
        <w:t xml:space="preserve">é à la Commune de Bagneux idéalement au moins 7 </w:t>
      </w:r>
      <w:r>
        <w:rPr>
          <w:rFonts w:ascii="Calibri" w:hAnsi="Calibri" w:cs="Calibri"/>
          <w:color w:val="000000"/>
        </w:rPr>
        <w:t>jours avant la date prévue afin de ne pas être facturé de cette absence.</w:t>
      </w:r>
    </w:p>
    <w:p w:rsidR="000610BF" w:rsidRDefault="000610BF" w:rsidP="006A7E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18"/>
          <w:szCs w:val="18"/>
        </w:rPr>
      </w:pPr>
    </w:p>
    <w:p w:rsidR="006A7E07" w:rsidRDefault="003B3EA3" w:rsidP="006A7E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1"/>
        </w:rPr>
      </w:pPr>
      <w:r>
        <w:rPr>
          <w:rFonts w:ascii="Calibri-Bold" w:hAnsi="Calibri-Bold" w:cs="Calibri-Bold"/>
          <w:b/>
          <w:bCs/>
          <w:color w:val="0070C1"/>
        </w:rPr>
        <w:t>7</w:t>
      </w:r>
      <w:r w:rsidR="006A7E07" w:rsidRPr="000610BF">
        <w:rPr>
          <w:rFonts w:ascii="Calibri-Bold" w:hAnsi="Calibri-Bold" w:cs="Calibri-Bold"/>
          <w:b/>
          <w:bCs/>
          <w:color w:val="0070C1"/>
        </w:rPr>
        <w:t>. Facturation de la prestation</w:t>
      </w:r>
    </w:p>
    <w:p w:rsidR="00D779AD" w:rsidRPr="000610BF" w:rsidRDefault="00D779AD" w:rsidP="006A7E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1"/>
        </w:rPr>
      </w:pPr>
    </w:p>
    <w:p w:rsidR="006A7E07" w:rsidRDefault="006A7E07" w:rsidP="009215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Cette autorisation est soumise au règlement des droits de voirie en vigueur (annexe 1)</w:t>
      </w:r>
      <w:r w:rsidR="0092153C">
        <w:rPr>
          <w:rFonts w:ascii="Calibri" w:hAnsi="Calibri" w:cs="Calibri"/>
          <w:color w:val="000000"/>
        </w:rPr>
        <w:t xml:space="preserve">, aux tarifs et redevances pour </w:t>
      </w:r>
      <w:r>
        <w:rPr>
          <w:rFonts w:ascii="Calibri" w:hAnsi="Calibri" w:cs="Calibri"/>
          <w:color w:val="000000"/>
        </w:rPr>
        <w:t>occupation du domaine public communal par un commerçant ambulant par jour de présence pour une superficie</w:t>
      </w:r>
      <w:r w:rsidR="0092153C">
        <w:rPr>
          <w:rFonts w:ascii="Calibri" w:hAnsi="Calibri" w:cs="Calibri"/>
          <w:color w:val="000000"/>
        </w:rPr>
        <w:t xml:space="preserve"> égale </w:t>
      </w:r>
      <w:r>
        <w:rPr>
          <w:rFonts w:ascii="Calibri" w:hAnsi="Calibri" w:cs="Calibri"/>
          <w:color w:val="000000"/>
        </w:rPr>
        <w:t>ou inférieure à 15m².</w:t>
      </w:r>
    </w:p>
    <w:p w:rsidR="006A7E07" w:rsidRDefault="006A7E07" w:rsidP="009215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Les occupations sont facturées chaque mois, à terme échu. Pour rap</w:t>
      </w:r>
      <w:r w:rsidR="0092153C">
        <w:rPr>
          <w:rFonts w:ascii="Calibri" w:hAnsi="Calibri" w:cs="Calibri"/>
          <w:color w:val="000000"/>
        </w:rPr>
        <w:t xml:space="preserve">pel, chaque absence injustifiée </w:t>
      </w:r>
      <w:r>
        <w:rPr>
          <w:rFonts w:ascii="Calibri" w:hAnsi="Calibri" w:cs="Calibri"/>
          <w:color w:val="000000"/>
        </w:rPr>
        <w:t>sera facturée.</w:t>
      </w:r>
    </w:p>
    <w:p w:rsidR="0092153C" w:rsidRDefault="0092153C" w:rsidP="006A7E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A7E07" w:rsidRDefault="003B3EA3" w:rsidP="006A7E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1"/>
        </w:rPr>
      </w:pPr>
      <w:r>
        <w:rPr>
          <w:rFonts w:ascii="Calibri-Bold" w:hAnsi="Calibri-Bold" w:cs="Calibri-Bold"/>
          <w:b/>
          <w:bCs/>
          <w:color w:val="0070C1"/>
        </w:rPr>
        <w:t>8</w:t>
      </w:r>
      <w:r w:rsidR="006A7E07" w:rsidRPr="00840B3F">
        <w:rPr>
          <w:rFonts w:ascii="Calibri-Bold" w:hAnsi="Calibri-Bold" w:cs="Calibri-Bold"/>
          <w:b/>
          <w:bCs/>
          <w:color w:val="0070C1"/>
        </w:rPr>
        <w:t>. Révocation du titre d’occupation en cas de manquement</w:t>
      </w:r>
    </w:p>
    <w:p w:rsidR="00EE00D5" w:rsidRPr="00840B3F" w:rsidRDefault="00EE00D5" w:rsidP="006A7E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1"/>
        </w:rPr>
      </w:pPr>
    </w:p>
    <w:p w:rsidR="006A7E07" w:rsidRDefault="006A7E07" w:rsidP="00542E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 cas d’absences répétées, ou de manquements avérés au respect des normes d’</w:t>
      </w:r>
      <w:r w:rsidR="00542E62">
        <w:rPr>
          <w:rFonts w:ascii="Calibri" w:hAnsi="Calibri" w:cs="Calibri"/>
          <w:color w:val="000000"/>
        </w:rPr>
        <w:t>hygiène alimentaire/</w:t>
      </w:r>
      <w:r w:rsidR="00840B3F">
        <w:rPr>
          <w:rFonts w:ascii="Calibri" w:hAnsi="Calibri" w:cs="Calibri"/>
          <w:color w:val="000000"/>
        </w:rPr>
        <w:t xml:space="preserve">de la </w:t>
      </w:r>
      <w:r>
        <w:rPr>
          <w:rFonts w:ascii="Calibri" w:hAnsi="Calibri" w:cs="Calibri"/>
          <w:color w:val="000000"/>
        </w:rPr>
        <w:t>règlementation en vigu</w:t>
      </w:r>
      <w:r w:rsidR="00542E62">
        <w:rPr>
          <w:rFonts w:ascii="Calibri" w:hAnsi="Calibri" w:cs="Calibri"/>
          <w:color w:val="000000"/>
        </w:rPr>
        <w:t>eur, la commune de Bagneux</w:t>
      </w:r>
      <w:r>
        <w:rPr>
          <w:rFonts w:ascii="Calibri" w:hAnsi="Calibri" w:cs="Calibri"/>
          <w:color w:val="000000"/>
        </w:rPr>
        <w:t xml:space="preserve"> se réserve le droit de révoquer le titre d’</w:t>
      </w:r>
      <w:r w:rsidR="00840B3F">
        <w:rPr>
          <w:rFonts w:ascii="Calibri" w:hAnsi="Calibri" w:cs="Calibri"/>
          <w:color w:val="000000"/>
        </w:rPr>
        <w:t xml:space="preserve">occupation de </w:t>
      </w:r>
      <w:r>
        <w:rPr>
          <w:rFonts w:ascii="Calibri" w:hAnsi="Calibri" w:cs="Calibri"/>
          <w:color w:val="000000"/>
        </w:rPr>
        <w:t>l’exploitant.</w:t>
      </w:r>
    </w:p>
    <w:p w:rsidR="006A7E07" w:rsidRDefault="006A7E07" w:rsidP="00542E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En cas d’absences répétées, le commerçant se verra notifié par courrier recommandé</w:t>
      </w:r>
      <w:r w:rsidR="00840B3F">
        <w:rPr>
          <w:rFonts w:ascii="Calibri" w:hAnsi="Calibri" w:cs="Calibri"/>
          <w:color w:val="000000"/>
        </w:rPr>
        <w:t xml:space="preserve"> avec avis de réception la </w:t>
      </w:r>
      <w:r>
        <w:rPr>
          <w:rFonts w:ascii="Calibri" w:hAnsi="Calibri" w:cs="Calibri"/>
          <w:color w:val="000000"/>
        </w:rPr>
        <w:t>révocation de son autorisation d’occupation. Il devra cesser immédiatement son a</w:t>
      </w:r>
      <w:r w:rsidR="00542E62">
        <w:rPr>
          <w:rFonts w:ascii="Calibri" w:hAnsi="Calibri" w:cs="Calibri"/>
          <w:color w:val="000000"/>
        </w:rPr>
        <w:t xml:space="preserve">ctivité dès réception de ladite </w:t>
      </w:r>
      <w:r>
        <w:rPr>
          <w:rFonts w:ascii="Calibri" w:hAnsi="Calibri" w:cs="Calibri"/>
          <w:color w:val="000000"/>
        </w:rPr>
        <w:t>notification.</w:t>
      </w:r>
    </w:p>
    <w:p w:rsidR="006A7E07" w:rsidRDefault="006A7E07" w:rsidP="00542E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 cas de manquements au respect des normes d’</w:t>
      </w:r>
      <w:r w:rsidR="00542E62">
        <w:rPr>
          <w:rFonts w:ascii="Calibri" w:hAnsi="Calibri" w:cs="Calibri"/>
          <w:color w:val="000000"/>
        </w:rPr>
        <w:t>hygiène alimentaire/</w:t>
      </w:r>
      <w:r>
        <w:rPr>
          <w:rFonts w:ascii="Calibri" w:hAnsi="Calibri" w:cs="Calibri"/>
          <w:color w:val="000000"/>
        </w:rPr>
        <w:t>de la règlementation en vigueur, le titre</w:t>
      </w:r>
      <w:r w:rsidR="00542E6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d’occupation pourra être suspendu immédiatement par les représentants habi</w:t>
      </w:r>
      <w:r w:rsidR="00542E62">
        <w:rPr>
          <w:rFonts w:ascii="Calibri" w:hAnsi="Calibri" w:cs="Calibri"/>
          <w:color w:val="000000"/>
        </w:rPr>
        <w:t xml:space="preserve">lités à assurer le contrôle des </w:t>
      </w:r>
      <w:r>
        <w:rPr>
          <w:rFonts w:ascii="Calibri" w:hAnsi="Calibri" w:cs="Calibri"/>
          <w:color w:val="000000"/>
        </w:rPr>
        <w:t>commerces du territoire communal (inspecteur hygiène, Police Municipale, Police Nationale).</w:t>
      </w:r>
    </w:p>
    <w:p w:rsidR="006A7E07" w:rsidRDefault="006A7E07" w:rsidP="00542E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 complément, et en fonction de la gravité des manquements constatés, le titre d’</w:t>
      </w:r>
      <w:r w:rsidR="00542E62">
        <w:rPr>
          <w:rFonts w:ascii="Calibri" w:hAnsi="Calibri" w:cs="Calibri"/>
          <w:color w:val="000000"/>
        </w:rPr>
        <w:t xml:space="preserve">occupation pourra être révoqué </w:t>
      </w:r>
      <w:r>
        <w:rPr>
          <w:rFonts w:ascii="Calibri" w:hAnsi="Calibri" w:cs="Calibri"/>
          <w:color w:val="000000"/>
        </w:rPr>
        <w:t>définitivement. Cette révocation du titre sera notifiée par courrier recommandé.</w:t>
      </w:r>
    </w:p>
    <w:p w:rsidR="00542E62" w:rsidRDefault="00542E62" w:rsidP="006A7E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A7E07" w:rsidRDefault="003B3EA3" w:rsidP="006A7E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1"/>
        </w:rPr>
      </w:pPr>
      <w:r>
        <w:rPr>
          <w:rFonts w:ascii="Calibri-Bold" w:hAnsi="Calibri-Bold" w:cs="Calibri-Bold"/>
          <w:b/>
          <w:bCs/>
          <w:color w:val="0070C1"/>
        </w:rPr>
        <w:t>9</w:t>
      </w:r>
      <w:r w:rsidR="006A7E07" w:rsidRPr="00542E62">
        <w:rPr>
          <w:rFonts w:ascii="Calibri-Bold" w:hAnsi="Calibri-Bold" w:cs="Calibri-Bold"/>
          <w:b/>
          <w:bCs/>
          <w:color w:val="0070C1"/>
        </w:rPr>
        <w:t>. Comment candidater</w:t>
      </w:r>
    </w:p>
    <w:p w:rsidR="00EE00D5" w:rsidRPr="00542E62" w:rsidRDefault="00EE00D5" w:rsidP="006A7E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1"/>
        </w:rPr>
      </w:pPr>
    </w:p>
    <w:p w:rsidR="006A7E07" w:rsidRDefault="006A7E07" w:rsidP="00542E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Les dossiers de candidature sont à envoye</w:t>
      </w:r>
      <w:r w:rsidR="004A5800">
        <w:rPr>
          <w:rFonts w:ascii="Calibri" w:hAnsi="Calibri" w:cs="Calibri"/>
          <w:color w:val="000000"/>
        </w:rPr>
        <w:t>r (par courrier ou par mail) à l’</w:t>
      </w:r>
      <w:r w:rsidR="00542E62">
        <w:rPr>
          <w:rFonts w:ascii="Calibri" w:hAnsi="Calibri" w:cs="Calibri"/>
          <w:color w:val="000000"/>
        </w:rPr>
        <w:t>Atelier de projet urbain de Bagneux</w:t>
      </w:r>
      <w:r>
        <w:rPr>
          <w:rFonts w:ascii="Calibri" w:hAnsi="Calibri" w:cs="Calibri"/>
          <w:color w:val="000000"/>
        </w:rPr>
        <w:t xml:space="preserve"> avant </w:t>
      </w:r>
      <w:r w:rsidRPr="00290A25">
        <w:rPr>
          <w:rFonts w:ascii="Calibri" w:hAnsi="Calibri" w:cs="Calibri"/>
          <w:color w:val="000000"/>
        </w:rPr>
        <w:t xml:space="preserve">le </w:t>
      </w:r>
      <w:r w:rsidR="00BD1ADD">
        <w:rPr>
          <w:rFonts w:ascii="Calibri" w:hAnsi="Calibri" w:cs="Calibri"/>
          <w:color w:val="000000"/>
        </w:rPr>
        <w:t>1</w:t>
      </w:r>
      <w:r w:rsidR="00BD1ADD" w:rsidRPr="00BD1ADD">
        <w:rPr>
          <w:rFonts w:ascii="Calibri" w:hAnsi="Calibri" w:cs="Calibri"/>
          <w:color w:val="000000"/>
          <w:vertAlign w:val="superscript"/>
        </w:rPr>
        <w:t>er</w:t>
      </w:r>
      <w:r w:rsidR="00BD1ADD">
        <w:rPr>
          <w:rFonts w:ascii="Calibri" w:hAnsi="Calibri" w:cs="Calibri"/>
          <w:color w:val="000000"/>
        </w:rPr>
        <w:t xml:space="preserve"> juillet</w:t>
      </w:r>
      <w:bookmarkStart w:id="0" w:name="_GoBack"/>
      <w:bookmarkEnd w:id="0"/>
      <w:r w:rsidR="00EE00D5">
        <w:rPr>
          <w:rFonts w:ascii="Calibri" w:hAnsi="Calibri" w:cs="Calibri"/>
          <w:color w:val="000000"/>
        </w:rPr>
        <w:t xml:space="preserve"> </w:t>
      </w:r>
      <w:r w:rsidRPr="00290A25">
        <w:rPr>
          <w:rFonts w:ascii="Calibri" w:hAnsi="Calibri" w:cs="Calibri"/>
          <w:color w:val="000000"/>
        </w:rPr>
        <w:t>2023. En</w:t>
      </w:r>
      <w:r>
        <w:rPr>
          <w:rFonts w:ascii="Calibri" w:hAnsi="Calibri" w:cs="Calibri"/>
          <w:color w:val="000000"/>
        </w:rPr>
        <w:t xml:space="preserve"> cas d’envoi par mail, l’adresse est la suivante : </w:t>
      </w:r>
      <w:hyperlink r:id="rId5" w:history="1">
        <w:r w:rsidR="00542E62" w:rsidRPr="0002491F">
          <w:rPr>
            <w:rStyle w:val="Lienhypertexte"/>
            <w:rFonts w:ascii="Calibri" w:hAnsi="Calibri" w:cs="Calibri"/>
          </w:rPr>
          <w:t>tiphaine.leninivin@mairie-bagneux.fr</w:t>
        </w:r>
      </w:hyperlink>
      <w:r w:rsidR="00542E62">
        <w:rPr>
          <w:rFonts w:ascii="Calibri" w:hAnsi="Calibri" w:cs="Calibri"/>
          <w:color w:val="0000FF"/>
        </w:rPr>
        <w:t xml:space="preserve"> </w:t>
      </w:r>
    </w:p>
    <w:p w:rsidR="00542E62" w:rsidRDefault="00542E62" w:rsidP="006A7E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A7E07" w:rsidRDefault="006A7E07" w:rsidP="006A7E07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</w:rPr>
        <w:t>Le dossier de candidature comportera les pièces suivantes :</w:t>
      </w:r>
    </w:p>
    <w:p w:rsidR="00542E62" w:rsidRDefault="00542E62" w:rsidP="006A7E07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</w:p>
    <w:p w:rsidR="006A7E07" w:rsidRDefault="006A7E07" w:rsidP="00542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1. </w:t>
      </w:r>
      <w:r>
        <w:rPr>
          <w:rFonts w:ascii="Calibri" w:hAnsi="Calibri" w:cs="Calibri"/>
          <w:color w:val="000000"/>
        </w:rPr>
        <w:t>Le dossier de candidature (annexe 1) accompagnée des pièces suivantes :</w:t>
      </w:r>
    </w:p>
    <w:p w:rsidR="006A7E07" w:rsidRDefault="006A7E07" w:rsidP="00542E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Wingdings-Regular" w:hAnsi="Wingdings-Regular" w:cs="Wingdings-Regular"/>
          <w:color w:val="000000"/>
        </w:rPr>
        <w:t xml:space="preserve">Ø </w:t>
      </w:r>
      <w:r>
        <w:rPr>
          <w:rFonts w:ascii="Calibri" w:hAnsi="Calibri" w:cs="Calibri"/>
          <w:color w:val="000000"/>
        </w:rPr>
        <w:t>En complément, une description (facultatif) plus complète de votre projet (Type PWT…</w:t>
      </w:r>
      <w:r w:rsidR="00542E62">
        <w:rPr>
          <w:rFonts w:ascii="Calibri" w:hAnsi="Calibri" w:cs="Calibri"/>
          <w:color w:val="000000"/>
        </w:rPr>
        <w:t xml:space="preserve">) : type </w:t>
      </w:r>
      <w:r>
        <w:rPr>
          <w:rFonts w:ascii="Calibri" w:hAnsi="Calibri" w:cs="Calibri"/>
          <w:color w:val="000000"/>
        </w:rPr>
        <w:t>de restauration, menus et tarifs envisagés, modalités de fonctionnement…</w:t>
      </w:r>
      <w:r w:rsidR="00542E62">
        <w:rPr>
          <w:rFonts w:ascii="Calibri" w:hAnsi="Calibri" w:cs="Calibri"/>
          <w:color w:val="000000"/>
        </w:rPr>
        <w:t xml:space="preserve"> Des photos du </w:t>
      </w:r>
      <w:r>
        <w:rPr>
          <w:rFonts w:ascii="Calibri" w:hAnsi="Calibri" w:cs="Calibri"/>
          <w:color w:val="000000"/>
        </w:rPr>
        <w:t>camion intérieur et extérieur,</w:t>
      </w:r>
    </w:p>
    <w:p w:rsidR="006A7E07" w:rsidRDefault="006A7E07" w:rsidP="00542E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Wingdings-Regular" w:hAnsi="Wingdings-Regular" w:cs="Wingdings-Regular"/>
          <w:color w:val="000000"/>
        </w:rPr>
        <w:t xml:space="preserve">Ø </w:t>
      </w:r>
      <w:r>
        <w:rPr>
          <w:rFonts w:ascii="Calibri" w:hAnsi="Calibri" w:cs="Calibri"/>
          <w:color w:val="000000"/>
        </w:rPr>
        <w:t>Une attestation d’assurance couvrant les conséquences pécuniai</w:t>
      </w:r>
      <w:r w:rsidR="00542E62">
        <w:rPr>
          <w:rFonts w:ascii="Calibri" w:hAnsi="Calibri" w:cs="Calibri"/>
          <w:color w:val="000000"/>
        </w:rPr>
        <w:t xml:space="preserve">res de la responsabilité civile </w:t>
      </w:r>
      <w:r>
        <w:rPr>
          <w:rFonts w:ascii="Calibri" w:hAnsi="Calibri" w:cs="Calibri"/>
          <w:color w:val="000000"/>
        </w:rPr>
        <w:t>professionnelle,</w:t>
      </w:r>
    </w:p>
    <w:p w:rsidR="006A7E07" w:rsidRDefault="006A7E07" w:rsidP="00542E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Wingdings-Regular" w:hAnsi="Wingdings-Regular" w:cs="Wingdings-Regular"/>
          <w:color w:val="000000"/>
        </w:rPr>
        <w:t xml:space="preserve">Ø </w:t>
      </w:r>
      <w:r>
        <w:rPr>
          <w:rFonts w:ascii="Calibri" w:hAnsi="Calibri" w:cs="Calibri"/>
          <w:color w:val="000000"/>
        </w:rPr>
        <w:t>La justification de l’inscription au Registre du Commerce et des Sociétés ou au Répertoire des</w:t>
      </w:r>
      <w:r w:rsidR="00542E62">
        <w:rPr>
          <w:rFonts w:ascii="Calibri" w:hAnsi="Calibri" w:cs="Calibri"/>
          <w:color w:val="000000"/>
        </w:rPr>
        <w:t xml:space="preserve"> Métiers/</w:t>
      </w:r>
      <w:r>
        <w:rPr>
          <w:rFonts w:ascii="Calibri" w:hAnsi="Calibri" w:cs="Calibri"/>
          <w:color w:val="000000"/>
        </w:rPr>
        <w:t>inscription au répertoire SIRENE,</w:t>
      </w:r>
    </w:p>
    <w:p w:rsidR="006A7E07" w:rsidRDefault="006A7E07" w:rsidP="00542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-Regular" w:hAnsi="Wingdings-Regular" w:cs="Wingdings-Regular"/>
          <w:color w:val="000000"/>
        </w:rPr>
        <w:t xml:space="preserve">Ø </w:t>
      </w:r>
      <w:r>
        <w:rPr>
          <w:rFonts w:ascii="Calibri" w:hAnsi="Calibri" w:cs="Calibri"/>
          <w:color w:val="000000"/>
        </w:rPr>
        <w:t>Copie du permis d’exploitation.</w:t>
      </w:r>
    </w:p>
    <w:p w:rsidR="006A7E07" w:rsidRDefault="006A7E07" w:rsidP="00542E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2. </w:t>
      </w:r>
      <w:r>
        <w:rPr>
          <w:rFonts w:ascii="Calibri" w:hAnsi="Calibri" w:cs="Calibri"/>
          <w:color w:val="000000"/>
        </w:rPr>
        <w:t>Le calendrier prévisionnel des emplacements des Food-trucks pou</w:t>
      </w:r>
      <w:r w:rsidR="00542E62">
        <w:rPr>
          <w:rFonts w:ascii="Calibri" w:hAnsi="Calibri" w:cs="Calibri"/>
          <w:color w:val="000000"/>
        </w:rPr>
        <w:t xml:space="preserve">r nous communiquer vos souhaits </w:t>
      </w:r>
      <w:r w:rsidR="00EE00D5">
        <w:rPr>
          <w:rFonts w:ascii="Calibri" w:hAnsi="Calibri" w:cs="Calibri"/>
          <w:color w:val="000000"/>
        </w:rPr>
        <w:t>d’intervention</w:t>
      </w:r>
      <w:r>
        <w:rPr>
          <w:rFonts w:ascii="Calibri" w:hAnsi="Calibri" w:cs="Calibri"/>
          <w:color w:val="000000"/>
        </w:rPr>
        <w:t>,</w:t>
      </w:r>
    </w:p>
    <w:p w:rsidR="006A7E07" w:rsidRDefault="006A7E07" w:rsidP="00542E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3. </w:t>
      </w:r>
      <w:r>
        <w:rPr>
          <w:rFonts w:ascii="Calibri" w:hAnsi="Calibri" w:cs="Calibri"/>
          <w:color w:val="000000"/>
        </w:rPr>
        <w:t>La demande d’occupation du doma</w:t>
      </w:r>
      <w:r w:rsidR="00EE00D5">
        <w:rPr>
          <w:rFonts w:ascii="Calibri" w:hAnsi="Calibri" w:cs="Calibri"/>
          <w:color w:val="000000"/>
        </w:rPr>
        <w:t>ine public</w:t>
      </w:r>
      <w:r>
        <w:rPr>
          <w:rFonts w:ascii="Calibri" w:hAnsi="Calibri" w:cs="Calibri"/>
          <w:color w:val="000000"/>
        </w:rPr>
        <w:t>,</w:t>
      </w:r>
    </w:p>
    <w:p w:rsidR="006A7E07" w:rsidRDefault="006A7E07" w:rsidP="00542E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4. </w:t>
      </w:r>
      <w:r>
        <w:rPr>
          <w:rFonts w:ascii="Calibri" w:hAnsi="Calibri" w:cs="Calibri"/>
          <w:color w:val="000000"/>
        </w:rPr>
        <w:t>La grille tarifaire des droits d’occupa</w:t>
      </w:r>
      <w:r w:rsidR="00EE00D5">
        <w:rPr>
          <w:rFonts w:ascii="Calibri" w:hAnsi="Calibri" w:cs="Calibri"/>
          <w:color w:val="000000"/>
        </w:rPr>
        <w:t>tion du domaine public (annexe 2</w:t>
      </w:r>
      <w:r>
        <w:rPr>
          <w:rFonts w:ascii="Calibri" w:hAnsi="Calibri" w:cs="Calibri"/>
          <w:color w:val="000000"/>
        </w:rPr>
        <w:t>),</w:t>
      </w:r>
    </w:p>
    <w:p w:rsidR="00542E62" w:rsidRDefault="00542E62" w:rsidP="006A7E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A7E07" w:rsidRDefault="006A7E07" w:rsidP="00542E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 dehors de cet appel public à manifestation d’intérêt, il n’y aura pas de candidatures acceptées en cours d’</w:t>
      </w:r>
      <w:r w:rsidR="00542E62">
        <w:rPr>
          <w:rFonts w:ascii="Calibri" w:hAnsi="Calibri" w:cs="Calibri"/>
          <w:color w:val="000000"/>
        </w:rPr>
        <w:t xml:space="preserve">année </w:t>
      </w:r>
      <w:r>
        <w:rPr>
          <w:rFonts w:ascii="Calibri" w:hAnsi="Calibri" w:cs="Calibri"/>
          <w:color w:val="000000"/>
        </w:rPr>
        <w:t xml:space="preserve">2023 sauf désistement ou annulation du titre d’exploitation d’un exploitant de camion </w:t>
      </w:r>
      <w:r w:rsidR="00542E62">
        <w:rPr>
          <w:rFonts w:ascii="Calibri" w:hAnsi="Calibri" w:cs="Calibri"/>
          <w:color w:val="000000"/>
        </w:rPr>
        <w:t xml:space="preserve">restaurant initialement </w:t>
      </w:r>
      <w:r>
        <w:rPr>
          <w:rFonts w:ascii="Calibri" w:hAnsi="Calibri" w:cs="Calibri"/>
          <w:color w:val="000000"/>
        </w:rPr>
        <w:t>sélectionné.</w:t>
      </w:r>
    </w:p>
    <w:p w:rsidR="00542E62" w:rsidRDefault="00542E62" w:rsidP="006A7E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A7E07" w:rsidRDefault="003B3EA3" w:rsidP="006A7E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1"/>
        </w:rPr>
      </w:pPr>
      <w:r>
        <w:rPr>
          <w:rFonts w:ascii="Calibri-Bold" w:hAnsi="Calibri-Bold" w:cs="Calibri-Bold"/>
          <w:b/>
          <w:bCs/>
          <w:color w:val="0070C1"/>
        </w:rPr>
        <w:t xml:space="preserve">10. </w:t>
      </w:r>
      <w:r w:rsidR="006A7E07" w:rsidRPr="00542E62">
        <w:rPr>
          <w:rFonts w:ascii="Calibri-Bold" w:hAnsi="Calibri-Bold" w:cs="Calibri-Bold"/>
          <w:b/>
          <w:bCs/>
          <w:color w:val="0070C1"/>
        </w:rPr>
        <w:t>Modalités de sélection</w:t>
      </w:r>
    </w:p>
    <w:p w:rsidR="00EE00D5" w:rsidRPr="00542E62" w:rsidRDefault="00EE00D5" w:rsidP="006A7E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1"/>
        </w:rPr>
      </w:pPr>
    </w:p>
    <w:p w:rsidR="006A7E07" w:rsidRDefault="006A7E07" w:rsidP="00AD34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La présente procédure est libre. Elle est organisée en application de l’article L.2122-1-1 </w:t>
      </w:r>
      <w:r w:rsidR="00542E62">
        <w:rPr>
          <w:rFonts w:ascii="Calibri" w:hAnsi="Calibri" w:cs="Calibri"/>
          <w:color w:val="000000"/>
        </w:rPr>
        <w:t xml:space="preserve">du Code général de la propriété </w:t>
      </w:r>
      <w:r>
        <w:rPr>
          <w:rFonts w:ascii="Calibri" w:hAnsi="Calibri" w:cs="Calibri"/>
          <w:color w:val="000000"/>
        </w:rPr>
        <w:t>des personnes publiques (CGPPP).</w:t>
      </w:r>
    </w:p>
    <w:p w:rsidR="00EE00D5" w:rsidRDefault="00EE00D5" w:rsidP="00AD34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6A7E07" w:rsidRDefault="006A7E07" w:rsidP="00AD34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 collectivité choisira les attributaires des places en fonction des projets qui répondr</w:t>
      </w:r>
      <w:r w:rsidR="00542E62">
        <w:rPr>
          <w:rFonts w:ascii="Calibri" w:hAnsi="Calibri" w:cs="Calibri"/>
          <w:color w:val="000000"/>
        </w:rPr>
        <w:t xml:space="preserve">ont le mieux à ses attentes, au </w:t>
      </w:r>
      <w:r>
        <w:rPr>
          <w:rFonts w:ascii="Calibri" w:hAnsi="Calibri" w:cs="Calibri"/>
          <w:color w:val="000000"/>
        </w:rPr>
        <w:t>regard des critères suivants :</w:t>
      </w:r>
    </w:p>
    <w:p w:rsidR="006A7E07" w:rsidRDefault="006A7E07" w:rsidP="006A7E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-Regular" w:hAnsi="Wingdings-Regular" w:cs="Wingdings-Regular"/>
          <w:color w:val="000000"/>
        </w:rPr>
        <w:t xml:space="preserve">Ø </w:t>
      </w:r>
      <w:r>
        <w:rPr>
          <w:rFonts w:ascii="Calibri" w:hAnsi="Calibri" w:cs="Calibri"/>
          <w:color w:val="000000"/>
        </w:rPr>
        <w:t>Qualité globale de l’offre</w:t>
      </w:r>
    </w:p>
    <w:p w:rsidR="006A7E07" w:rsidRDefault="006A7E07" w:rsidP="006A7E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-Regular" w:hAnsi="Wingdings-Regular" w:cs="Wingdings-Regular"/>
          <w:color w:val="000000"/>
        </w:rPr>
        <w:t xml:space="preserve">Ø </w:t>
      </w:r>
      <w:r>
        <w:rPr>
          <w:rFonts w:ascii="Calibri" w:hAnsi="Calibri" w:cs="Calibri"/>
          <w:color w:val="000000"/>
        </w:rPr>
        <w:t>Qualité des Produits (visuel, saveurs, provenance…)</w:t>
      </w:r>
    </w:p>
    <w:p w:rsidR="006A7E07" w:rsidRDefault="006A7E07" w:rsidP="006A7E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-Regular" w:hAnsi="Wingdings-Regular" w:cs="Wingdings-Regular"/>
          <w:color w:val="000000"/>
        </w:rPr>
        <w:t xml:space="preserve">Ø </w:t>
      </w:r>
      <w:r>
        <w:rPr>
          <w:rFonts w:ascii="Calibri" w:hAnsi="Calibri" w:cs="Calibri"/>
          <w:color w:val="000000"/>
        </w:rPr>
        <w:t>Diversité du menu, formules proposées,</w:t>
      </w:r>
    </w:p>
    <w:p w:rsidR="006A7E07" w:rsidRDefault="006A7E07" w:rsidP="006A7E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-Regular" w:hAnsi="Wingdings-Regular" w:cs="Wingdings-Regular"/>
          <w:color w:val="000000"/>
        </w:rPr>
        <w:t xml:space="preserve">Ø </w:t>
      </w:r>
      <w:r>
        <w:rPr>
          <w:rFonts w:ascii="Calibri" w:hAnsi="Calibri" w:cs="Calibri"/>
          <w:color w:val="000000"/>
        </w:rPr>
        <w:t>Prix</w:t>
      </w:r>
    </w:p>
    <w:p w:rsidR="006A7E07" w:rsidRDefault="006A7E07" w:rsidP="006A7E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-Regular" w:hAnsi="Wingdings-Regular" w:cs="Wingdings-Regular"/>
          <w:color w:val="000000"/>
        </w:rPr>
        <w:t xml:space="preserve">Ø </w:t>
      </w:r>
      <w:r>
        <w:rPr>
          <w:rFonts w:ascii="Calibri" w:hAnsi="Calibri" w:cs="Calibri"/>
          <w:color w:val="000000"/>
        </w:rPr>
        <w:t>Aspect extérieur et intérieur du camion (esthétisme)</w:t>
      </w:r>
    </w:p>
    <w:p w:rsidR="006A7E07" w:rsidRDefault="006A7E07" w:rsidP="006A7E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-Regular" w:hAnsi="Wingdings-Regular" w:cs="Wingdings-Regular"/>
          <w:color w:val="000000"/>
        </w:rPr>
        <w:t xml:space="preserve">Ø </w:t>
      </w:r>
      <w:r>
        <w:rPr>
          <w:rFonts w:ascii="Calibri" w:hAnsi="Calibri" w:cs="Calibri"/>
          <w:color w:val="000000"/>
        </w:rPr>
        <w:t>Propreté (respect des normes d’hygiène et de sécurité)</w:t>
      </w:r>
    </w:p>
    <w:p w:rsidR="006A7E07" w:rsidRDefault="006A7E07" w:rsidP="00AD34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Wingdings-Regular" w:hAnsi="Wingdings-Regular" w:cs="Wingdings-Regular"/>
          <w:color w:val="000000"/>
        </w:rPr>
        <w:t xml:space="preserve">Ø </w:t>
      </w:r>
      <w:r>
        <w:rPr>
          <w:rFonts w:ascii="Calibri" w:hAnsi="Calibri" w:cs="Calibri"/>
          <w:color w:val="000000"/>
        </w:rPr>
        <w:t xml:space="preserve">La mise en </w:t>
      </w:r>
      <w:r w:rsidR="00AD3436">
        <w:rPr>
          <w:rFonts w:ascii="Calibri" w:hAnsi="Calibri" w:cs="Calibri"/>
          <w:color w:val="000000"/>
        </w:rPr>
        <w:t>œuvre</w:t>
      </w:r>
      <w:r>
        <w:rPr>
          <w:rFonts w:ascii="Calibri" w:hAnsi="Calibri" w:cs="Calibri"/>
          <w:color w:val="000000"/>
        </w:rPr>
        <w:t xml:space="preserve"> d’actions en faveur de l’environnement dans le fo</w:t>
      </w:r>
      <w:r w:rsidR="00AD3436">
        <w:rPr>
          <w:rFonts w:ascii="Calibri" w:hAnsi="Calibri" w:cs="Calibri"/>
          <w:color w:val="000000"/>
        </w:rPr>
        <w:t xml:space="preserve">nctionnement du </w:t>
      </w:r>
      <w:proofErr w:type="spellStart"/>
      <w:r w:rsidR="00AD3436">
        <w:rPr>
          <w:rFonts w:ascii="Calibri" w:hAnsi="Calibri" w:cs="Calibri"/>
          <w:color w:val="000000"/>
        </w:rPr>
        <w:t>food</w:t>
      </w:r>
      <w:proofErr w:type="spellEnd"/>
      <w:r w:rsidR="00AD3436">
        <w:rPr>
          <w:rFonts w:ascii="Calibri" w:hAnsi="Calibri" w:cs="Calibri"/>
          <w:color w:val="000000"/>
        </w:rPr>
        <w:t xml:space="preserve"> truck sera </w:t>
      </w:r>
      <w:r>
        <w:rPr>
          <w:rFonts w:ascii="Calibri" w:hAnsi="Calibri" w:cs="Calibri"/>
          <w:color w:val="000000"/>
        </w:rPr>
        <w:t>appréciée (par exemple : vaisselle réutilisable ou recyclable, énergies renouvelables, circuit court, etc…)</w:t>
      </w:r>
    </w:p>
    <w:p w:rsidR="00AD3436" w:rsidRDefault="00AD3436" w:rsidP="006A7E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A7E07" w:rsidRDefault="003B3EA3" w:rsidP="006A7E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1"/>
        </w:rPr>
      </w:pPr>
      <w:r>
        <w:rPr>
          <w:rFonts w:ascii="Calibri-Bold" w:hAnsi="Calibri-Bold" w:cs="Calibri-Bold"/>
          <w:b/>
          <w:bCs/>
          <w:color w:val="0070C1"/>
        </w:rPr>
        <w:t>11</w:t>
      </w:r>
      <w:r w:rsidR="006A7E07" w:rsidRPr="00AD3436">
        <w:rPr>
          <w:rFonts w:ascii="Calibri-Bold" w:hAnsi="Calibri-Bold" w:cs="Calibri-Bold"/>
          <w:b/>
          <w:bCs/>
          <w:color w:val="0070C1"/>
        </w:rPr>
        <w:t>. Données personnelles</w:t>
      </w:r>
    </w:p>
    <w:p w:rsidR="00EE00D5" w:rsidRPr="00AD3436" w:rsidRDefault="00EE00D5" w:rsidP="006A7E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1"/>
        </w:rPr>
      </w:pPr>
    </w:p>
    <w:p w:rsidR="006A7E07" w:rsidRDefault="006A7E07" w:rsidP="00AD34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Toutes les données personnelles transmises à la Ville sont récoltées à la seule </w:t>
      </w:r>
      <w:r w:rsidR="00AD3436">
        <w:rPr>
          <w:rFonts w:ascii="Calibri" w:hAnsi="Calibri" w:cs="Calibri"/>
          <w:color w:val="000000"/>
        </w:rPr>
        <w:t xml:space="preserve">fin de la bonne instruction des </w:t>
      </w:r>
      <w:r>
        <w:rPr>
          <w:rFonts w:ascii="Calibri" w:hAnsi="Calibri" w:cs="Calibri"/>
          <w:color w:val="000000"/>
        </w:rPr>
        <w:t>candidatures, dans le respect du règlement général européen sur la protection des</w:t>
      </w:r>
      <w:r w:rsidR="00AD3436">
        <w:rPr>
          <w:rFonts w:ascii="Calibri" w:hAnsi="Calibri" w:cs="Calibri"/>
          <w:color w:val="000000"/>
        </w:rPr>
        <w:t xml:space="preserve"> données personnelles du 23 mai </w:t>
      </w:r>
      <w:r>
        <w:rPr>
          <w:rFonts w:ascii="Calibri" w:hAnsi="Calibri" w:cs="Calibri"/>
          <w:color w:val="000000"/>
        </w:rPr>
        <w:t>2018.</w:t>
      </w:r>
    </w:p>
    <w:p w:rsidR="006A7E07" w:rsidRPr="00AD3436" w:rsidRDefault="006A7E07" w:rsidP="00AD34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sectPr w:rsidR="006A7E07" w:rsidRPr="00AD3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72B69"/>
    <w:multiLevelType w:val="hybridMultilevel"/>
    <w:tmpl w:val="404624C8"/>
    <w:lvl w:ilvl="0" w:tplc="6C86D970">
      <w:numFmt w:val="bullet"/>
      <w:lvlText w:val="-"/>
      <w:lvlJc w:val="left"/>
      <w:pPr>
        <w:ind w:left="720" w:hanging="360"/>
      </w:pPr>
      <w:rPr>
        <w:rFonts w:ascii="Calibri-Bold" w:eastAsiaTheme="minorHAnsi" w:hAnsi="Calibri-Bold" w:cs="Calibri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37AF1"/>
    <w:multiLevelType w:val="hybridMultilevel"/>
    <w:tmpl w:val="5908DF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317CC"/>
    <w:multiLevelType w:val="hybridMultilevel"/>
    <w:tmpl w:val="DA265C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07"/>
    <w:rsid w:val="000610BF"/>
    <w:rsid w:val="00290A25"/>
    <w:rsid w:val="0036114D"/>
    <w:rsid w:val="003B3EA3"/>
    <w:rsid w:val="004A5800"/>
    <w:rsid w:val="00542E62"/>
    <w:rsid w:val="005E0E80"/>
    <w:rsid w:val="006A7E07"/>
    <w:rsid w:val="00791322"/>
    <w:rsid w:val="00840B3F"/>
    <w:rsid w:val="0092153C"/>
    <w:rsid w:val="00AD3436"/>
    <w:rsid w:val="00BD1ADD"/>
    <w:rsid w:val="00C06B38"/>
    <w:rsid w:val="00CA2501"/>
    <w:rsid w:val="00D779AD"/>
    <w:rsid w:val="00EE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BB368-44D1-406F-8ED2-BE2FE886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7E0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91322"/>
    <w:pPr>
      <w:ind w:left="720"/>
      <w:contextualSpacing/>
    </w:pPr>
  </w:style>
  <w:style w:type="table" w:styleId="Grilledutableau">
    <w:name w:val="Table Grid"/>
    <w:basedOn w:val="TableauNormal"/>
    <w:uiPriority w:val="39"/>
    <w:rsid w:val="00C0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phaine.leninivin@mairie-bagneux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1111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Tiphaine LE NINIVIN</dc:creator>
  <cp:keywords/>
  <dc:description/>
  <cp:lastModifiedBy>Tiphaine LE NINIVIN</cp:lastModifiedBy>
  <cp:revision>11</cp:revision>
  <dcterms:created xsi:type="dcterms:W3CDTF">2023-03-08T15:17:00Z</dcterms:created>
  <dcterms:modified xsi:type="dcterms:W3CDTF">2023-05-19T09:53:00Z</dcterms:modified>
</cp:coreProperties>
</file>